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D" w:rsidRDefault="00FE11BD" w:rsidP="00FE11BD">
      <w:pPr>
        <w:jc w:val="center"/>
      </w:pPr>
    </w:p>
    <w:p w:rsidR="00247FE1" w:rsidRPr="00160EA4" w:rsidRDefault="00247FE1" w:rsidP="00247FE1">
      <w:pPr>
        <w:jc w:val="center"/>
        <w:rPr>
          <w:b/>
          <w:sz w:val="28"/>
          <w:szCs w:val="28"/>
        </w:rPr>
      </w:pPr>
      <w:r w:rsidRPr="00160EA4">
        <w:rPr>
          <w:b/>
          <w:sz w:val="28"/>
          <w:szCs w:val="28"/>
        </w:rPr>
        <w:t>Техническая спецификация</w:t>
      </w:r>
    </w:p>
    <w:p w:rsidR="00FE11BD" w:rsidRDefault="00FE11BD" w:rsidP="00FE11BD">
      <w:pPr>
        <w:jc w:val="center"/>
      </w:pPr>
    </w:p>
    <w:p w:rsidR="00FE11BD" w:rsidRDefault="00FE11BD" w:rsidP="00FE11BD">
      <w:pPr>
        <w:jc w:val="center"/>
      </w:pPr>
    </w:p>
    <w:p w:rsidR="00FE11BD" w:rsidRPr="00755E5E" w:rsidRDefault="00755E5E" w:rsidP="00755E5E">
      <w:pPr>
        <w:rPr>
          <w:b/>
        </w:rPr>
      </w:pPr>
      <w:r w:rsidRPr="00755E5E">
        <w:rPr>
          <w:b/>
        </w:rPr>
        <w:t xml:space="preserve">Лот № 1. </w:t>
      </w:r>
      <w:r w:rsidR="00FE11BD" w:rsidRPr="00755E5E">
        <w:rPr>
          <w:b/>
        </w:rPr>
        <w:t xml:space="preserve">ФУРАЖКИ ФОРМЕНЫЕ </w:t>
      </w:r>
      <w:r>
        <w:rPr>
          <w:b/>
        </w:rPr>
        <w:t>ДЛЯ КАПИТАНОВ ВС</w:t>
      </w:r>
      <w:r w:rsidR="00FE11BD" w:rsidRPr="00755E5E">
        <w:rPr>
          <w:b/>
        </w:rPr>
        <w:t xml:space="preserve"> </w:t>
      </w:r>
    </w:p>
    <w:p w:rsidR="00755E5E" w:rsidRDefault="00755E5E" w:rsidP="00755E5E">
      <w:pPr>
        <w:rPr>
          <w:sz w:val="28"/>
          <w:szCs w:val="28"/>
        </w:rPr>
      </w:pPr>
    </w:p>
    <w:p w:rsidR="00755E5E" w:rsidRDefault="00755E5E" w:rsidP="00755E5E">
      <w:r>
        <w:t>Размеры: 54-62</w:t>
      </w:r>
    </w:p>
    <w:p w:rsidR="00FE11BD" w:rsidRPr="005C27B4" w:rsidRDefault="00FE11BD" w:rsidP="00FE11BD">
      <w:pPr>
        <w:rPr>
          <w:sz w:val="28"/>
          <w:szCs w:val="28"/>
        </w:rPr>
      </w:pPr>
    </w:p>
    <w:p w:rsidR="00FE11BD" w:rsidRPr="00245260" w:rsidRDefault="00755E5E" w:rsidP="00755E5E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 w:rsidR="00FE11BD" w:rsidRPr="00245260">
        <w:rPr>
          <w:sz w:val="28"/>
          <w:szCs w:val="28"/>
        </w:rPr>
        <w:t>Фуражка</w:t>
      </w:r>
      <w:r w:rsidR="00FE11BD" w:rsidRPr="00E85748">
        <w:rPr>
          <w:color w:val="0070C0"/>
          <w:sz w:val="28"/>
          <w:szCs w:val="28"/>
        </w:rPr>
        <w:t xml:space="preserve"> </w:t>
      </w:r>
      <w:r w:rsidR="00FE11BD">
        <w:rPr>
          <w:sz w:val="28"/>
          <w:szCs w:val="28"/>
        </w:rPr>
        <w:t>с</w:t>
      </w:r>
      <w:r w:rsidR="00FE11BD" w:rsidRPr="005C27B4">
        <w:rPr>
          <w:sz w:val="28"/>
          <w:szCs w:val="28"/>
        </w:rPr>
        <w:t>ине-черного</w:t>
      </w:r>
      <w:r w:rsidR="00FE11BD">
        <w:rPr>
          <w:color w:val="0070C0"/>
          <w:sz w:val="28"/>
          <w:szCs w:val="28"/>
        </w:rPr>
        <w:t xml:space="preserve"> </w:t>
      </w:r>
      <w:r w:rsidR="00FE11BD" w:rsidRPr="00624149">
        <w:rPr>
          <w:sz w:val="28"/>
          <w:szCs w:val="28"/>
        </w:rPr>
        <w:t>цвета</w:t>
      </w:r>
      <w:r w:rsidR="00FE11BD">
        <w:rPr>
          <w:sz w:val="28"/>
          <w:szCs w:val="28"/>
        </w:rPr>
        <w:t>,</w:t>
      </w:r>
      <w:r w:rsidR="00FE11BD" w:rsidRPr="00624149">
        <w:rPr>
          <w:sz w:val="28"/>
          <w:szCs w:val="28"/>
        </w:rPr>
        <w:t xml:space="preserve"> </w:t>
      </w:r>
      <w:r w:rsidR="00FE11BD" w:rsidRPr="00245260">
        <w:rPr>
          <w:sz w:val="28"/>
          <w:szCs w:val="28"/>
        </w:rPr>
        <w:t xml:space="preserve">состоит из донышка, тульи высотой </w:t>
      </w:r>
      <w:r w:rsidR="00FE11BD">
        <w:rPr>
          <w:sz w:val="28"/>
          <w:szCs w:val="28"/>
        </w:rPr>
        <w:t>6,</w:t>
      </w:r>
      <w:r w:rsidR="00BD6DB6" w:rsidRPr="00BD6DB6">
        <w:rPr>
          <w:sz w:val="28"/>
          <w:szCs w:val="28"/>
        </w:rPr>
        <w:t>3-6,7</w:t>
      </w:r>
      <w:r w:rsidR="00FE11BD" w:rsidRPr="00245260">
        <w:rPr>
          <w:sz w:val="28"/>
          <w:szCs w:val="28"/>
        </w:rPr>
        <w:t xml:space="preserve"> см, стенок, состоящих в свою очередь из четырех частей дугообразной формы, околыша, козырька, налобника и тренчика золотистого цвета.</w:t>
      </w:r>
    </w:p>
    <w:p w:rsidR="00FE11BD" w:rsidRDefault="00FE11BD" w:rsidP="00FE11B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z w:val="28"/>
          <w:szCs w:val="28"/>
        </w:rPr>
        <w:t xml:space="preserve">В шов соединения донышка со стенками втачивается кант </w:t>
      </w:r>
      <w:r>
        <w:rPr>
          <w:sz w:val="28"/>
          <w:szCs w:val="28"/>
        </w:rPr>
        <w:t xml:space="preserve">в цвет ткани верха. </w:t>
      </w:r>
      <w:r w:rsidRPr="002929E9">
        <w:rPr>
          <w:sz w:val="28"/>
          <w:szCs w:val="28"/>
        </w:rPr>
        <w:t xml:space="preserve"> Внутри фуражки – подкладка в цвет ткани верха или черного цвета, посередине которой настрачивается или наносится методом сварки накладка с указанием производителя, года выпуска и размера. </w:t>
      </w:r>
    </w:p>
    <w:p w:rsidR="00FE11BD" w:rsidRPr="002929E9" w:rsidRDefault="00FE11BD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spacing w:val="-6"/>
          <w:sz w:val="28"/>
          <w:szCs w:val="28"/>
        </w:rPr>
        <w:t xml:space="preserve">В передней части на пластиковом околыше установлена жесткая полиэтиленовая стойка.  Для удержания донышка в расправленном состоянии, </w:t>
      </w:r>
      <w:r>
        <w:rPr>
          <w:spacing w:val="-6"/>
          <w:sz w:val="28"/>
          <w:szCs w:val="28"/>
        </w:rPr>
        <w:t>в кант между донышком и стенками вложена гибкая пластиковая основа.</w:t>
      </w:r>
    </w:p>
    <w:p w:rsidR="00FE11BD" w:rsidRPr="002929E9" w:rsidRDefault="00FE11BD" w:rsidP="00FE11B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pacing w:val="-6"/>
          <w:sz w:val="28"/>
          <w:szCs w:val="28"/>
        </w:rPr>
        <w:t xml:space="preserve">Налобник </w:t>
      </w:r>
      <w:r>
        <w:rPr>
          <w:spacing w:val="-6"/>
          <w:sz w:val="28"/>
          <w:szCs w:val="28"/>
        </w:rPr>
        <w:t xml:space="preserve">перфорированный </w:t>
      </w:r>
      <w:r w:rsidRPr="002929E9">
        <w:rPr>
          <w:spacing w:val="-6"/>
          <w:sz w:val="28"/>
          <w:szCs w:val="28"/>
        </w:rPr>
        <w:t>из искусственной кожи черного цвета</w:t>
      </w:r>
      <w:r>
        <w:rPr>
          <w:spacing w:val="-6"/>
          <w:sz w:val="28"/>
          <w:szCs w:val="28"/>
        </w:rPr>
        <w:t>, с кантом и строчкой по верху</w:t>
      </w:r>
      <w:r w:rsidRPr="002929E9">
        <w:rPr>
          <w:sz w:val="28"/>
          <w:szCs w:val="28"/>
        </w:rPr>
        <w:t>.</w:t>
      </w:r>
    </w:p>
    <w:p w:rsidR="00FE11BD" w:rsidRPr="002929E9" w:rsidRDefault="00FE11BD" w:rsidP="00FE11B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z w:val="28"/>
          <w:szCs w:val="28"/>
        </w:rPr>
        <w:t>Козырек сборный: внутренняя часть – пластмассовая, верхняя часть – л</w:t>
      </w:r>
      <w:r>
        <w:rPr>
          <w:sz w:val="28"/>
          <w:szCs w:val="28"/>
        </w:rPr>
        <w:t>ак, нижняя - искусственная кожа, для КВС верхняя часть из сукна в цвет ткани верха с вышитым орнаментом в виде стилизованных дубовых ветвей, металлизированной нитью золотистого цвета.</w:t>
      </w:r>
      <w:r w:rsidRPr="002929E9">
        <w:rPr>
          <w:sz w:val="28"/>
          <w:szCs w:val="28"/>
        </w:rPr>
        <w:t xml:space="preserve"> </w:t>
      </w:r>
    </w:p>
    <w:p w:rsidR="00FE11BD" w:rsidRPr="002929E9" w:rsidRDefault="00FE11BD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</w:t>
      </w:r>
      <w:r w:rsidRPr="002929E9">
        <w:rPr>
          <w:sz w:val="28"/>
          <w:szCs w:val="28"/>
        </w:rPr>
        <w:t xml:space="preserve">ад козырьком, по околышу, </w:t>
      </w:r>
      <w:r>
        <w:rPr>
          <w:sz w:val="28"/>
          <w:szCs w:val="28"/>
        </w:rPr>
        <w:t xml:space="preserve">на две форменные пуговицы золотистого цвета с корпоративной эмблемой, </w:t>
      </w:r>
      <w:r w:rsidRPr="002929E9">
        <w:rPr>
          <w:sz w:val="28"/>
          <w:szCs w:val="28"/>
        </w:rPr>
        <w:t>пристегивается</w:t>
      </w:r>
      <w:r w:rsidRPr="002F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филигранный, металлизированный подбородный ремешок </w:t>
      </w:r>
      <w:r w:rsidRPr="002929E9">
        <w:rPr>
          <w:sz w:val="28"/>
          <w:szCs w:val="28"/>
        </w:rPr>
        <w:t>золотистого цвета</w:t>
      </w:r>
      <w:r>
        <w:rPr>
          <w:sz w:val="28"/>
          <w:szCs w:val="28"/>
        </w:rPr>
        <w:t xml:space="preserve">. </w:t>
      </w:r>
      <w:r w:rsidRPr="002929E9">
        <w:rPr>
          <w:spacing w:val="-6"/>
          <w:sz w:val="28"/>
          <w:szCs w:val="28"/>
        </w:rPr>
        <w:t xml:space="preserve">Диаметр пуговиц </w:t>
      </w:r>
      <w:r w:rsidR="00BD6DB6" w:rsidRPr="00247FE1">
        <w:rPr>
          <w:spacing w:val="-6"/>
          <w:sz w:val="28"/>
          <w:szCs w:val="28"/>
        </w:rPr>
        <w:t xml:space="preserve">14,5 </w:t>
      </w:r>
      <w:r w:rsidRPr="002929E9">
        <w:rPr>
          <w:spacing w:val="-6"/>
          <w:sz w:val="28"/>
          <w:szCs w:val="28"/>
        </w:rPr>
        <w:t>– 1</w:t>
      </w:r>
      <w:r>
        <w:rPr>
          <w:spacing w:val="-6"/>
          <w:sz w:val="28"/>
          <w:szCs w:val="28"/>
        </w:rPr>
        <w:t>5</w:t>
      </w:r>
      <w:r w:rsidR="00BD6DB6" w:rsidRPr="00247FE1">
        <w:rPr>
          <w:spacing w:val="-6"/>
          <w:sz w:val="28"/>
          <w:szCs w:val="28"/>
        </w:rPr>
        <w:t>,5</w:t>
      </w:r>
      <w:r w:rsidRPr="002929E9">
        <w:rPr>
          <w:spacing w:val="-6"/>
          <w:sz w:val="28"/>
          <w:szCs w:val="28"/>
        </w:rPr>
        <w:t xml:space="preserve"> мм</w:t>
      </w:r>
      <w:r>
        <w:rPr>
          <w:spacing w:val="-6"/>
          <w:sz w:val="28"/>
          <w:szCs w:val="28"/>
        </w:rPr>
        <w:t>.</w:t>
      </w:r>
    </w:p>
    <w:p w:rsidR="00FE11BD" w:rsidRPr="00624149" w:rsidRDefault="00FE11BD" w:rsidP="00FE11BD">
      <w:pPr>
        <w:tabs>
          <w:tab w:val="num" w:pos="1260"/>
          <w:tab w:val="num" w:pos="1440"/>
        </w:tabs>
        <w:ind w:firstLine="709"/>
        <w:jc w:val="both"/>
        <w:rPr>
          <w:rStyle w:val="s0"/>
          <w:i/>
          <w:sz w:val="28"/>
          <w:szCs w:val="28"/>
        </w:rPr>
      </w:pPr>
      <w:r w:rsidRPr="00003F07">
        <w:rPr>
          <w:spacing w:val="-6"/>
          <w:sz w:val="28"/>
          <w:szCs w:val="28"/>
        </w:rPr>
        <w:t>Спереди, по центру околыша фуражки</w:t>
      </w:r>
      <w:r w:rsidRPr="00E85748">
        <w:rPr>
          <w:color w:val="0070C0"/>
          <w:spacing w:val="-6"/>
          <w:sz w:val="28"/>
          <w:szCs w:val="28"/>
        </w:rPr>
        <w:t xml:space="preserve"> </w:t>
      </w:r>
      <w:r w:rsidRPr="00624149">
        <w:rPr>
          <w:spacing w:val="-6"/>
          <w:sz w:val="28"/>
          <w:szCs w:val="28"/>
        </w:rPr>
        <w:t xml:space="preserve">размещается </w:t>
      </w:r>
      <w:r w:rsidRPr="00624149">
        <w:rPr>
          <w:rStyle w:val="s0"/>
          <w:sz w:val="28"/>
          <w:szCs w:val="28"/>
        </w:rPr>
        <w:t xml:space="preserve">кокарда с </w:t>
      </w:r>
      <w:r>
        <w:rPr>
          <w:rStyle w:val="s0"/>
          <w:sz w:val="28"/>
          <w:szCs w:val="28"/>
        </w:rPr>
        <w:t xml:space="preserve">корпоративной </w:t>
      </w:r>
      <w:r w:rsidRPr="00624149">
        <w:rPr>
          <w:rStyle w:val="s0"/>
          <w:sz w:val="28"/>
          <w:szCs w:val="28"/>
        </w:rPr>
        <w:t>эмблемой</w:t>
      </w:r>
      <w:r>
        <w:rPr>
          <w:rStyle w:val="s0"/>
          <w:sz w:val="28"/>
          <w:szCs w:val="28"/>
        </w:rPr>
        <w:t xml:space="preserve">, в обрамлении </w:t>
      </w:r>
      <w:r w:rsidRPr="00624149">
        <w:rPr>
          <w:rStyle w:val="s0"/>
          <w:sz w:val="28"/>
          <w:szCs w:val="28"/>
        </w:rPr>
        <w:t xml:space="preserve">стилизованными </w:t>
      </w:r>
      <w:r>
        <w:rPr>
          <w:rStyle w:val="s0"/>
          <w:sz w:val="28"/>
          <w:szCs w:val="28"/>
        </w:rPr>
        <w:t xml:space="preserve">дубовыми </w:t>
      </w:r>
      <w:r w:rsidRPr="00624149">
        <w:rPr>
          <w:rStyle w:val="s0"/>
          <w:sz w:val="28"/>
          <w:szCs w:val="28"/>
        </w:rPr>
        <w:t xml:space="preserve">ветвями выполненная вышивкой </w:t>
      </w:r>
      <w:r w:rsidRPr="00624149">
        <w:rPr>
          <w:sz w:val="28"/>
          <w:szCs w:val="28"/>
        </w:rPr>
        <w:t>металлизированной нит</w:t>
      </w:r>
      <w:r>
        <w:rPr>
          <w:sz w:val="28"/>
          <w:szCs w:val="28"/>
        </w:rPr>
        <w:t>ью</w:t>
      </w:r>
      <w:r w:rsidRPr="00624149">
        <w:rPr>
          <w:sz w:val="28"/>
          <w:szCs w:val="28"/>
        </w:rPr>
        <w:t xml:space="preserve">  золотистого цвета, для </w:t>
      </w:r>
      <w:r>
        <w:rPr>
          <w:sz w:val="28"/>
          <w:szCs w:val="28"/>
        </w:rPr>
        <w:t>всех категорий пилотов,</w:t>
      </w:r>
      <w:r w:rsidRPr="00624149">
        <w:rPr>
          <w:rStyle w:val="s0"/>
          <w:sz w:val="28"/>
          <w:szCs w:val="28"/>
        </w:rPr>
        <w:t xml:space="preserve"> с обшитым краем, нитью в тон ткани верха</w:t>
      </w:r>
      <w:r>
        <w:rPr>
          <w:rStyle w:val="s0"/>
          <w:sz w:val="28"/>
          <w:szCs w:val="28"/>
        </w:rPr>
        <w:t>.</w:t>
      </w:r>
    </w:p>
    <w:p w:rsidR="00FE11BD" w:rsidRPr="002929E9" w:rsidRDefault="00FE11BD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i/>
          <w:spacing w:val="-6"/>
          <w:sz w:val="28"/>
          <w:szCs w:val="28"/>
        </w:rPr>
        <w:t>Материал верха:</w:t>
      </w:r>
      <w:r w:rsidRPr="002929E9">
        <w:rPr>
          <w:spacing w:val="-6"/>
          <w:sz w:val="28"/>
          <w:szCs w:val="28"/>
        </w:rPr>
        <w:t xml:space="preserve"> ткань костюмная</w:t>
      </w:r>
      <w:r>
        <w:rPr>
          <w:spacing w:val="-6"/>
          <w:sz w:val="28"/>
          <w:szCs w:val="28"/>
        </w:rPr>
        <w:t>, полотняного переплетения</w:t>
      </w:r>
      <w:r w:rsidRPr="002929E9">
        <w:rPr>
          <w:spacing w:val="-6"/>
          <w:sz w:val="28"/>
          <w:szCs w:val="28"/>
        </w:rPr>
        <w:t>.</w:t>
      </w:r>
    </w:p>
    <w:p w:rsidR="00FE11BD" w:rsidRDefault="00FE11BD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i/>
          <w:spacing w:val="-6"/>
          <w:sz w:val="28"/>
          <w:szCs w:val="28"/>
        </w:rPr>
        <w:t xml:space="preserve">Требования технологичности: </w:t>
      </w:r>
      <w:r w:rsidRPr="002929E9">
        <w:rPr>
          <w:spacing w:val="-6"/>
          <w:sz w:val="28"/>
          <w:szCs w:val="28"/>
        </w:rPr>
        <w:t>требования к стежкам</w:t>
      </w:r>
      <w:r>
        <w:rPr>
          <w:spacing w:val="-6"/>
          <w:sz w:val="28"/>
          <w:szCs w:val="28"/>
        </w:rPr>
        <w:t>, строчкам и швам по ГОСТ 12807-2003.</w:t>
      </w:r>
      <w:r w:rsidR="00882E0A">
        <w:rPr>
          <w:spacing w:val="-6"/>
          <w:sz w:val="28"/>
          <w:szCs w:val="28"/>
        </w:rPr>
        <w:t xml:space="preserve"> </w:t>
      </w:r>
      <w:r w:rsidR="00AE1F3A">
        <w:rPr>
          <w:spacing w:val="-6"/>
          <w:sz w:val="28"/>
          <w:szCs w:val="28"/>
        </w:rPr>
        <w:t>Предоставление поставщиком образца фуражки обязательно.</w:t>
      </w:r>
    </w:p>
    <w:p w:rsidR="008C5605" w:rsidRDefault="008C5605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755E5E" w:rsidRDefault="00755E5E" w:rsidP="00755E5E"/>
    <w:p w:rsidR="008C5605" w:rsidRDefault="00755E5E" w:rsidP="00755E5E">
      <w:pPr>
        <w:rPr>
          <w:b/>
        </w:rPr>
      </w:pPr>
      <w:r w:rsidRPr="00755E5E">
        <w:rPr>
          <w:b/>
        </w:rPr>
        <w:t xml:space="preserve">Лот № 2. ФУРАЖКИ ФОРМЕНЫЕ </w:t>
      </w:r>
      <w:r>
        <w:rPr>
          <w:b/>
        </w:rPr>
        <w:t xml:space="preserve">ДЛЯ ВТОРЫХ ПИЛОТОВ </w:t>
      </w:r>
    </w:p>
    <w:p w:rsidR="00755E5E" w:rsidRPr="005C27B4" w:rsidRDefault="00755E5E" w:rsidP="00755E5E">
      <w:pPr>
        <w:rPr>
          <w:sz w:val="28"/>
          <w:szCs w:val="28"/>
        </w:rPr>
      </w:pPr>
    </w:p>
    <w:p w:rsidR="00755E5E" w:rsidRDefault="00755E5E" w:rsidP="00755E5E">
      <w:r>
        <w:t>Размеры: 54-62</w:t>
      </w:r>
    </w:p>
    <w:p w:rsidR="008C5605" w:rsidRPr="005C27B4" w:rsidRDefault="008C5605" w:rsidP="00755E5E">
      <w:pPr>
        <w:rPr>
          <w:sz w:val="28"/>
          <w:szCs w:val="28"/>
        </w:rPr>
      </w:pPr>
    </w:p>
    <w:p w:rsidR="008C5605" w:rsidRPr="005C27B4" w:rsidRDefault="008C5605" w:rsidP="008C5605">
      <w:pPr>
        <w:rPr>
          <w:sz w:val="28"/>
          <w:szCs w:val="28"/>
        </w:rPr>
      </w:pPr>
    </w:p>
    <w:p w:rsidR="008C5605" w:rsidRDefault="008C5605" w:rsidP="008C5605"/>
    <w:p w:rsidR="008C5605" w:rsidRPr="00245260" w:rsidRDefault="008C5605" w:rsidP="008C560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5260">
        <w:rPr>
          <w:sz w:val="28"/>
          <w:szCs w:val="28"/>
        </w:rPr>
        <w:lastRenderedPageBreak/>
        <w:t>Фуражка</w:t>
      </w:r>
      <w:r w:rsidRPr="00E85748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27B4">
        <w:rPr>
          <w:sz w:val="28"/>
          <w:szCs w:val="28"/>
        </w:rPr>
        <w:t>ине-черного</w:t>
      </w:r>
      <w:r>
        <w:rPr>
          <w:color w:val="0070C0"/>
          <w:sz w:val="28"/>
          <w:szCs w:val="28"/>
        </w:rPr>
        <w:t xml:space="preserve"> </w:t>
      </w:r>
      <w:r w:rsidRPr="00624149">
        <w:rPr>
          <w:sz w:val="28"/>
          <w:szCs w:val="28"/>
        </w:rPr>
        <w:t>цвета</w:t>
      </w:r>
      <w:r>
        <w:rPr>
          <w:sz w:val="28"/>
          <w:szCs w:val="28"/>
        </w:rPr>
        <w:t>,</w:t>
      </w:r>
      <w:r w:rsidRPr="00624149">
        <w:rPr>
          <w:sz w:val="28"/>
          <w:szCs w:val="28"/>
        </w:rPr>
        <w:t xml:space="preserve"> </w:t>
      </w:r>
      <w:r w:rsidRPr="00245260">
        <w:rPr>
          <w:sz w:val="28"/>
          <w:szCs w:val="28"/>
        </w:rPr>
        <w:t xml:space="preserve">состоит из донышка, тульи высотой </w:t>
      </w:r>
      <w:r>
        <w:rPr>
          <w:sz w:val="28"/>
          <w:szCs w:val="28"/>
        </w:rPr>
        <w:t>6,</w:t>
      </w:r>
      <w:r w:rsidR="00BD6DB6" w:rsidRPr="00BD6DB6">
        <w:rPr>
          <w:sz w:val="28"/>
          <w:szCs w:val="28"/>
        </w:rPr>
        <w:t>3 – 6,7</w:t>
      </w:r>
      <w:r w:rsidRPr="00245260">
        <w:rPr>
          <w:sz w:val="28"/>
          <w:szCs w:val="28"/>
        </w:rPr>
        <w:t xml:space="preserve"> см, стенок, состоящих в свою очередь из четырех частей дугообразной формы, околыша, козырька, налобника и тренчика золотистого цвета.</w:t>
      </w:r>
    </w:p>
    <w:p w:rsidR="008C5605" w:rsidRDefault="008C5605" w:rsidP="008C560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z w:val="28"/>
          <w:szCs w:val="28"/>
        </w:rPr>
        <w:t xml:space="preserve">В шов соединения донышка со стенками втачивается кант </w:t>
      </w:r>
      <w:r>
        <w:rPr>
          <w:sz w:val="28"/>
          <w:szCs w:val="28"/>
        </w:rPr>
        <w:t xml:space="preserve">в цвет ткани верха. </w:t>
      </w:r>
      <w:r w:rsidRPr="002929E9">
        <w:rPr>
          <w:sz w:val="28"/>
          <w:szCs w:val="28"/>
        </w:rPr>
        <w:t xml:space="preserve"> Внутри фуражки – подкладка в цвет ткани верха или черного цвета, посередине которой настрачивается или наносится методом сварки накладка с указанием производителя, года выпуска и размера. </w:t>
      </w:r>
    </w:p>
    <w:p w:rsidR="008C5605" w:rsidRPr="002929E9" w:rsidRDefault="008C5605" w:rsidP="008C5605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spacing w:val="-6"/>
          <w:sz w:val="28"/>
          <w:szCs w:val="28"/>
        </w:rPr>
        <w:t xml:space="preserve">В передней части на пластиковом околыше установлена жесткая полиэтиленовая стойка.  Для удержания донышка в расправленном состоянии, </w:t>
      </w:r>
      <w:r>
        <w:rPr>
          <w:spacing w:val="-6"/>
          <w:sz w:val="28"/>
          <w:szCs w:val="28"/>
        </w:rPr>
        <w:t>в кант между донышком и стенками вложена гибкая пластиковая основа.</w:t>
      </w:r>
    </w:p>
    <w:p w:rsidR="008C5605" w:rsidRPr="002929E9" w:rsidRDefault="008C5605" w:rsidP="008C560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pacing w:val="-6"/>
          <w:sz w:val="28"/>
          <w:szCs w:val="28"/>
        </w:rPr>
        <w:t xml:space="preserve">Налобник </w:t>
      </w:r>
      <w:r>
        <w:rPr>
          <w:spacing w:val="-6"/>
          <w:sz w:val="28"/>
          <w:szCs w:val="28"/>
        </w:rPr>
        <w:t xml:space="preserve">перфорированный </w:t>
      </w:r>
      <w:r w:rsidRPr="002929E9">
        <w:rPr>
          <w:spacing w:val="-6"/>
          <w:sz w:val="28"/>
          <w:szCs w:val="28"/>
        </w:rPr>
        <w:t>из искусственной кожи черного цвета</w:t>
      </w:r>
      <w:r>
        <w:rPr>
          <w:spacing w:val="-6"/>
          <w:sz w:val="28"/>
          <w:szCs w:val="28"/>
        </w:rPr>
        <w:t>, с кантом и строчкой по верху</w:t>
      </w:r>
      <w:r w:rsidRPr="002929E9">
        <w:rPr>
          <w:sz w:val="28"/>
          <w:szCs w:val="28"/>
        </w:rPr>
        <w:t>.</w:t>
      </w:r>
    </w:p>
    <w:p w:rsidR="008C5605" w:rsidRPr="002929E9" w:rsidRDefault="008C5605" w:rsidP="008C560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29E9">
        <w:rPr>
          <w:sz w:val="28"/>
          <w:szCs w:val="28"/>
        </w:rPr>
        <w:t>Козырек сборный: внутренняя часть – пластмассовая, верхняя часть – л</w:t>
      </w:r>
      <w:r>
        <w:rPr>
          <w:sz w:val="28"/>
          <w:szCs w:val="28"/>
        </w:rPr>
        <w:t>ак, нижняя - искусственная кожа.</w:t>
      </w:r>
      <w:r w:rsidRPr="002929E9">
        <w:rPr>
          <w:sz w:val="28"/>
          <w:szCs w:val="28"/>
        </w:rPr>
        <w:t xml:space="preserve"> </w:t>
      </w:r>
    </w:p>
    <w:p w:rsidR="008C5605" w:rsidRPr="002929E9" w:rsidRDefault="008C5605" w:rsidP="008C5605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</w:t>
      </w:r>
      <w:r w:rsidRPr="002929E9">
        <w:rPr>
          <w:sz w:val="28"/>
          <w:szCs w:val="28"/>
        </w:rPr>
        <w:t xml:space="preserve">ад козырьком, по околышу, </w:t>
      </w:r>
      <w:r>
        <w:rPr>
          <w:sz w:val="28"/>
          <w:szCs w:val="28"/>
        </w:rPr>
        <w:t xml:space="preserve">на две форменные пуговицы золотистого цвета с корпоративной эмблемой, </w:t>
      </w:r>
      <w:r w:rsidRPr="002929E9">
        <w:rPr>
          <w:sz w:val="28"/>
          <w:szCs w:val="28"/>
        </w:rPr>
        <w:t>пристегивается</w:t>
      </w:r>
      <w:r w:rsidRPr="002F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филигранный, металлизированный подбородный ремешок </w:t>
      </w:r>
      <w:r w:rsidRPr="002929E9">
        <w:rPr>
          <w:sz w:val="28"/>
          <w:szCs w:val="28"/>
        </w:rPr>
        <w:t>золотистого цвета</w:t>
      </w:r>
      <w:r>
        <w:rPr>
          <w:sz w:val="28"/>
          <w:szCs w:val="28"/>
        </w:rPr>
        <w:t xml:space="preserve">. </w:t>
      </w:r>
      <w:r w:rsidRPr="002929E9">
        <w:rPr>
          <w:spacing w:val="-6"/>
          <w:sz w:val="28"/>
          <w:szCs w:val="28"/>
        </w:rPr>
        <w:t xml:space="preserve">Диаметр пуговиц </w:t>
      </w:r>
      <w:r w:rsidR="00A24870" w:rsidRPr="00247FE1">
        <w:rPr>
          <w:spacing w:val="-6"/>
          <w:sz w:val="28"/>
          <w:szCs w:val="28"/>
        </w:rPr>
        <w:t xml:space="preserve">14,5 </w:t>
      </w:r>
      <w:r w:rsidRPr="002929E9">
        <w:rPr>
          <w:spacing w:val="-6"/>
          <w:sz w:val="28"/>
          <w:szCs w:val="28"/>
        </w:rPr>
        <w:t>– 1</w:t>
      </w:r>
      <w:r>
        <w:rPr>
          <w:spacing w:val="-6"/>
          <w:sz w:val="28"/>
          <w:szCs w:val="28"/>
        </w:rPr>
        <w:t>5</w:t>
      </w:r>
      <w:r w:rsidR="00A24870" w:rsidRPr="00247FE1">
        <w:rPr>
          <w:spacing w:val="-6"/>
          <w:sz w:val="28"/>
          <w:szCs w:val="28"/>
        </w:rPr>
        <w:t xml:space="preserve">,5 </w:t>
      </w:r>
      <w:r w:rsidRPr="002929E9">
        <w:rPr>
          <w:spacing w:val="-6"/>
          <w:sz w:val="28"/>
          <w:szCs w:val="28"/>
        </w:rPr>
        <w:t>мм</w:t>
      </w:r>
      <w:r>
        <w:rPr>
          <w:spacing w:val="-6"/>
          <w:sz w:val="28"/>
          <w:szCs w:val="28"/>
        </w:rPr>
        <w:t>.</w:t>
      </w:r>
    </w:p>
    <w:p w:rsidR="008C5605" w:rsidRPr="00624149" w:rsidRDefault="008C5605" w:rsidP="008C5605">
      <w:pPr>
        <w:tabs>
          <w:tab w:val="num" w:pos="1260"/>
          <w:tab w:val="num" w:pos="1440"/>
        </w:tabs>
        <w:ind w:firstLine="709"/>
        <w:jc w:val="both"/>
        <w:rPr>
          <w:rStyle w:val="s0"/>
          <w:i/>
          <w:sz w:val="28"/>
          <w:szCs w:val="28"/>
        </w:rPr>
      </w:pPr>
      <w:r w:rsidRPr="00003F07">
        <w:rPr>
          <w:spacing w:val="-6"/>
          <w:sz w:val="28"/>
          <w:szCs w:val="28"/>
        </w:rPr>
        <w:t>Спереди, по центру околыша фуражки</w:t>
      </w:r>
      <w:r w:rsidRPr="00E85748">
        <w:rPr>
          <w:color w:val="0070C0"/>
          <w:spacing w:val="-6"/>
          <w:sz w:val="28"/>
          <w:szCs w:val="28"/>
        </w:rPr>
        <w:t xml:space="preserve"> </w:t>
      </w:r>
      <w:r w:rsidRPr="00624149">
        <w:rPr>
          <w:spacing w:val="-6"/>
          <w:sz w:val="28"/>
          <w:szCs w:val="28"/>
        </w:rPr>
        <w:t xml:space="preserve">размещается </w:t>
      </w:r>
      <w:r w:rsidRPr="00624149">
        <w:rPr>
          <w:rStyle w:val="s0"/>
          <w:sz w:val="28"/>
          <w:szCs w:val="28"/>
        </w:rPr>
        <w:t xml:space="preserve">кокарда с </w:t>
      </w:r>
      <w:r>
        <w:rPr>
          <w:rStyle w:val="s0"/>
          <w:sz w:val="28"/>
          <w:szCs w:val="28"/>
        </w:rPr>
        <w:t xml:space="preserve">корпоративной </w:t>
      </w:r>
      <w:r w:rsidRPr="00624149">
        <w:rPr>
          <w:rStyle w:val="s0"/>
          <w:sz w:val="28"/>
          <w:szCs w:val="28"/>
        </w:rPr>
        <w:t>эмблемой</w:t>
      </w:r>
      <w:r>
        <w:rPr>
          <w:rStyle w:val="s0"/>
          <w:sz w:val="28"/>
          <w:szCs w:val="28"/>
        </w:rPr>
        <w:t xml:space="preserve">, в обрамлении </w:t>
      </w:r>
      <w:r w:rsidRPr="00624149">
        <w:rPr>
          <w:rStyle w:val="s0"/>
          <w:sz w:val="28"/>
          <w:szCs w:val="28"/>
        </w:rPr>
        <w:t xml:space="preserve">стилизованными </w:t>
      </w:r>
      <w:r>
        <w:rPr>
          <w:rStyle w:val="s0"/>
          <w:sz w:val="28"/>
          <w:szCs w:val="28"/>
        </w:rPr>
        <w:t xml:space="preserve">дубовыми </w:t>
      </w:r>
      <w:r w:rsidRPr="00624149">
        <w:rPr>
          <w:rStyle w:val="s0"/>
          <w:sz w:val="28"/>
          <w:szCs w:val="28"/>
        </w:rPr>
        <w:t xml:space="preserve">ветвями выполненная вышивкой </w:t>
      </w:r>
      <w:r w:rsidRPr="00624149">
        <w:rPr>
          <w:sz w:val="28"/>
          <w:szCs w:val="28"/>
        </w:rPr>
        <w:t>металлизированной нит</w:t>
      </w:r>
      <w:r>
        <w:rPr>
          <w:sz w:val="28"/>
          <w:szCs w:val="28"/>
        </w:rPr>
        <w:t>ью</w:t>
      </w:r>
      <w:r w:rsidRPr="00624149">
        <w:rPr>
          <w:sz w:val="28"/>
          <w:szCs w:val="28"/>
        </w:rPr>
        <w:t xml:space="preserve">  золотистого цвета, для </w:t>
      </w:r>
      <w:r>
        <w:rPr>
          <w:sz w:val="28"/>
          <w:szCs w:val="28"/>
        </w:rPr>
        <w:t>всех категорий пилотов,</w:t>
      </w:r>
      <w:r w:rsidRPr="00624149">
        <w:rPr>
          <w:rStyle w:val="s0"/>
          <w:sz w:val="28"/>
          <w:szCs w:val="28"/>
        </w:rPr>
        <w:t xml:space="preserve"> с обшитым краем, нитью в тон ткани верха</w:t>
      </w:r>
      <w:r>
        <w:rPr>
          <w:rStyle w:val="s0"/>
          <w:sz w:val="28"/>
          <w:szCs w:val="28"/>
        </w:rPr>
        <w:t>.</w:t>
      </w:r>
    </w:p>
    <w:p w:rsidR="008C5605" w:rsidRPr="002929E9" w:rsidRDefault="008C5605" w:rsidP="008C5605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i/>
          <w:spacing w:val="-6"/>
          <w:sz w:val="28"/>
          <w:szCs w:val="28"/>
        </w:rPr>
        <w:t>Материал верха:</w:t>
      </w:r>
      <w:r w:rsidRPr="002929E9">
        <w:rPr>
          <w:spacing w:val="-6"/>
          <w:sz w:val="28"/>
          <w:szCs w:val="28"/>
        </w:rPr>
        <w:t xml:space="preserve"> ткань костюмная</w:t>
      </w:r>
      <w:r>
        <w:rPr>
          <w:spacing w:val="-6"/>
          <w:sz w:val="28"/>
          <w:szCs w:val="28"/>
        </w:rPr>
        <w:t>, полотняного переплетения</w:t>
      </w:r>
      <w:r w:rsidRPr="002929E9">
        <w:rPr>
          <w:spacing w:val="-6"/>
          <w:sz w:val="28"/>
          <w:szCs w:val="28"/>
        </w:rPr>
        <w:t>.</w:t>
      </w:r>
    </w:p>
    <w:p w:rsidR="008C5605" w:rsidRPr="005A63F1" w:rsidRDefault="008C5605" w:rsidP="008C5605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2929E9">
        <w:rPr>
          <w:i/>
          <w:spacing w:val="-6"/>
          <w:sz w:val="28"/>
          <w:szCs w:val="28"/>
        </w:rPr>
        <w:t xml:space="preserve">Требования технологичности: </w:t>
      </w:r>
      <w:r w:rsidRPr="002929E9">
        <w:rPr>
          <w:spacing w:val="-6"/>
          <w:sz w:val="28"/>
          <w:szCs w:val="28"/>
        </w:rPr>
        <w:t>требования к стежкам</w:t>
      </w:r>
      <w:r>
        <w:rPr>
          <w:spacing w:val="-6"/>
          <w:sz w:val="28"/>
          <w:szCs w:val="28"/>
        </w:rPr>
        <w:t>, строчкам и швам по ГОСТ 12807-2003. Предоставление поставщиком образца фуражки обязательно.</w:t>
      </w:r>
    </w:p>
    <w:p w:rsidR="008C5605" w:rsidRDefault="008C5605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755E5E" w:rsidRPr="00755E5E" w:rsidRDefault="00755E5E" w:rsidP="00755E5E">
      <w:pPr>
        <w:rPr>
          <w:b/>
        </w:rPr>
      </w:pPr>
      <w:r w:rsidRPr="00755E5E">
        <w:rPr>
          <w:b/>
        </w:rPr>
        <w:t xml:space="preserve">Лот № </w:t>
      </w:r>
      <w:r>
        <w:rPr>
          <w:b/>
        </w:rPr>
        <w:t>3</w:t>
      </w:r>
      <w:r w:rsidRPr="00755E5E">
        <w:rPr>
          <w:b/>
        </w:rPr>
        <w:t xml:space="preserve">. </w:t>
      </w:r>
      <w:r>
        <w:rPr>
          <w:b/>
        </w:rPr>
        <w:t>ШАПКА-УШАНКА ДЛЯ ПИЛОТОВ</w:t>
      </w:r>
    </w:p>
    <w:p w:rsidR="00755E5E" w:rsidRDefault="00755E5E" w:rsidP="00755E5E"/>
    <w:p w:rsidR="008C5605" w:rsidRDefault="008C5605" w:rsidP="00755E5E">
      <w:pPr>
        <w:pStyle w:val="Textbody"/>
        <w:rPr>
          <w:rFonts w:cs="Times New Roman"/>
          <w:lang w:val="ru-RU"/>
        </w:rPr>
      </w:pPr>
      <w:r>
        <w:rPr>
          <w:rFonts w:cs="Times New Roman"/>
          <w:lang w:val="ru-RU"/>
        </w:rPr>
        <w:t>ВНЕШНИЙ ВИД</w:t>
      </w:r>
    </w:p>
    <w:p w:rsidR="008C5605" w:rsidRPr="00247FE1" w:rsidRDefault="008C5605" w:rsidP="008C5605">
      <w:pPr>
        <w:pStyle w:val="Textbody"/>
        <w:spacing w:after="0" w:line="0" w:lineRule="atLeast"/>
        <w:rPr>
          <w:rStyle w:val="s0"/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10"/>
          <w:rFonts w:eastAsia="Times New Roman" w:cs="Times New Roman"/>
          <w:lang w:val="ru-RU"/>
        </w:rPr>
        <w:t xml:space="preserve">  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Кепи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утеплённое тёмно-синего цвета состоит из донышка, стенок, околыша, налобника, козырька и назатыльника. Лицевые части колпака, козырек, </w:t>
      </w:r>
      <w:proofErr w:type="spellStart"/>
      <w:r w:rsidRPr="00247FE1">
        <w:rPr>
          <w:rStyle w:val="s0"/>
          <w:kern w:val="0"/>
          <w:sz w:val="28"/>
          <w:szCs w:val="28"/>
          <w:lang w:val="ru-RU" w:eastAsia="ru-RU" w:bidi="ar-SA"/>
        </w:rPr>
        <w:t>подлицевые</w:t>
      </w:r>
      <w:proofErr w:type="spell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части назатыльника выполнены из плащевой ткани на основе. Лицевая часть назатыльника из 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стриженной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овчины черного цвета, высота ворса 10мм. Стенка кепи состоит из трех деталей. Швы стенок расположены в затылочной части 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стенки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в которые вшита  застежка с пряжкой.  </w:t>
      </w:r>
      <w:r w:rsidRPr="001A3BDA">
        <w:rPr>
          <w:rStyle w:val="s0"/>
          <w:kern w:val="0"/>
          <w:sz w:val="28"/>
          <w:szCs w:val="28"/>
          <w:lang w:val="ru-RU" w:eastAsia="ru-RU" w:bidi="ar-SA"/>
        </w:rPr>
        <w:t>По нижней части кепи с нижней стороны расположен околыш, шириной – 2,8см (</w:t>
      </w:r>
      <w:r w:rsidR="001A3BDA">
        <w:rPr>
          <w:rStyle w:val="10"/>
          <w:rFonts w:eastAsia="Times New Roman" w:cs="Times New Roman"/>
          <w:u w:val="single"/>
          <w:lang w:val="ru-RU"/>
        </w:rPr>
        <w:t>+</w:t>
      </w:r>
      <w:r w:rsidRPr="001A3BDA">
        <w:rPr>
          <w:rStyle w:val="s0"/>
          <w:kern w:val="0"/>
          <w:sz w:val="28"/>
          <w:szCs w:val="28"/>
          <w:lang w:val="ru-RU" w:eastAsia="ru-RU" w:bidi="ar-SA"/>
        </w:rPr>
        <w:t xml:space="preserve">0,2мм).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В нижней части внутренней стороны кепи проложен налобник из хлопчатобумажной ткани черного цвета. Козырек обтачной шириной </w:t>
      </w:r>
      <w:r w:rsidR="00FD4720"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5,7 –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>6</w:t>
      </w:r>
      <w:r w:rsidR="00FD4720"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,2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см и длиной </w:t>
      </w:r>
      <w:r w:rsidR="00FD4720"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17,7 –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>18</w:t>
      </w:r>
      <w:r w:rsidR="00FD4720"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,2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см. В левой боковой части кепи на околыше вышит логотип Эйр Астаны. Швы кепи отстрочены и герметизированы. Подкладка кепи с утеплителем и теплоотражающей прокладкой.  Назатыльник фиксируются  хлястиком с застежкой </w:t>
      </w:r>
      <w:proofErr w:type="spellStart"/>
      <w:r w:rsidRPr="00247FE1">
        <w:rPr>
          <w:rStyle w:val="s0"/>
          <w:kern w:val="0"/>
          <w:sz w:val="28"/>
          <w:szCs w:val="28"/>
          <w:lang w:val="ru-RU" w:eastAsia="ru-RU" w:bidi="ar-SA"/>
        </w:rPr>
        <w:t>велькро</w:t>
      </w:r>
      <w:proofErr w:type="spellEnd"/>
      <w:r w:rsidRPr="00247FE1">
        <w:rPr>
          <w:rStyle w:val="s0"/>
          <w:kern w:val="0"/>
          <w:sz w:val="28"/>
          <w:szCs w:val="28"/>
          <w:lang w:val="ru-RU" w:eastAsia="ru-RU" w:bidi="ar-SA"/>
        </w:rPr>
        <w:t>.</w:t>
      </w:r>
    </w:p>
    <w:p w:rsidR="008C5605" w:rsidRDefault="008C5605" w:rsidP="008C5605">
      <w:pPr>
        <w:pStyle w:val="Standard"/>
        <w:rPr>
          <w:lang w:val="ru-RU"/>
        </w:rPr>
      </w:pPr>
    </w:p>
    <w:p w:rsidR="008C5605" w:rsidRPr="00FB63D8" w:rsidRDefault="008C5605" w:rsidP="008C5605">
      <w:pPr>
        <w:pStyle w:val="Standard"/>
        <w:rPr>
          <w:lang w:val="ru-RU"/>
        </w:rPr>
      </w:pPr>
      <w:r>
        <w:rPr>
          <w:rStyle w:val="10"/>
          <w:b/>
          <w:bCs/>
          <w:lang w:val="ru-RU"/>
        </w:rPr>
        <w:t>Материал ткани верха:</w:t>
      </w:r>
      <w:r>
        <w:rPr>
          <w:rStyle w:val="10"/>
          <w:lang w:val="ru-RU"/>
        </w:rPr>
        <w:t xml:space="preserve">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>плащевая синего цвета на трикотажной основе 250 г/м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2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>.</w:t>
      </w:r>
    </w:p>
    <w:p w:rsidR="008C5605" w:rsidRPr="00FB63D8" w:rsidRDefault="008C5605" w:rsidP="008C5605">
      <w:pPr>
        <w:pStyle w:val="Standard"/>
        <w:rPr>
          <w:lang w:val="ru-RU"/>
        </w:rPr>
      </w:pPr>
      <w:r>
        <w:rPr>
          <w:rStyle w:val="10"/>
          <w:b/>
          <w:bCs/>
          <w:lang w:val="ru-RU"/>
        </w:rPr>
        <w:t>Подкладочная ткань:</w:t>
      </w:r>
      <w:r>
        <w:rPr>
          <w:rStyle w:val="10"/>
          <w:lang w:val="ru-RU"/>
        </w:rPr>
        <w:t xml:space="preserve"> </w:t>
      </w:r>
      <w:proofErr w:type="spellStart"/>
      <w:r w:rsidRPr="00247FE1">
        <w:rPr>
          <w:rStyle w:val="s0"/>
          <w:kern w:val="0"/>
          <w:sz w:val="28"/>
          <w:szCs w:val="28"/>
          <w:lang w:val="ru-RU" w:eastAsia="ru-RU" w:bidi="ar-SA"/>
        </w:rPr>
        <w:t>флис</w:t>
      </w:r>
      <w:proofErr w:type="spell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черного цвета 250г/м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2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(+15г/м2)</w:t>
      </w:r>
    </w:p>
    <w:p w:rsidR="008C5605" w:rsidRPr="00247FE1" w:rsidRDefault="008C5605" w:rsidP="008C5605">
      <w:pPr>
        <w:pStyle w:val="Standard"/>
        <w:rPr>
          <w:rStyle w:val="s0"/>
          <w:kern w:val="0"/>
          <w:sz w:val="28"/>
          <w:szCs w:val="28"/>
          <w:lang w:val="ru-RU" w:eastAsia="ru-RU" w:bidi="ar-SA"/>
        </w:rPr>
      </w:pPr>
      <w:r>
        <w:rPr>
          <w:rStyle w:val="10"/>
          <w:b/>
          <w:bCs/>
          <w:lang w:val="ru-RU"/>
        </w:rPr>
        <w:t>Утепляющая прокладка:</w:t>
      </w:r>
      <w:r>
        <w:rPr>
          <w:rStyle w:val="10"/>
          <w:lang w:val="ru-RU"/>
        </w:rPr>
        <w:t xml:space="preserve"> </w:t>
      </w:r>
      <w:r w:rsidRPr="00247FE1">
        <w:rPr>
          <w:rStyle w:val="s0"/>
          <w:kern w:val="0"/>
          <w:sz w:val="28"/>
          <w:szCs w:val="28"/>
          <w:lang w:val="ru-RU" w:eastAsia="ru-RU" w:bidi="ar-SA"/>
        </w:rPr>
        <w:t>нетканое полотно 120г/м</w:t>
      </w:r>
      <w:proofErr w:type="gramStart"/>
      <w:r w:rsidRPr="00247FE1">
        <w:rPr>
          <w:rStyle w:val="s0"/>
          <w:kern w:val="0"/>
          <w:sz w:val="28"/>
          <w:szCs w:val="28"/>
          <w:lang w:val="ru-RU" w:eastAsia="ru-RU" w:bidi="ar-SA"/>
        </w:rPr>
        <w:t>2</w:t>
      </w:r>
      <w:proofErr w:type="gramEnd"/>
      <w:r w:rsidRPr="00247FE1">
        <w:rPr>
          <w:rStyle w:val="s0"/>
          <w:kern w:val="0"/>
          <w:sz w:val="28"/>
          <w:szCs w:val="28"/>
          <w:lang w:val="ru-RU" w:eastAsia="ru-RU" w:bidi="ar-SA"/>
        </w:rPr>
        <w:t xml:space="preserve"> (+15г/м2)</w:t>
      </w:r>
    </w:p>
    <w:p w:rsidR="008C5605" w:rsidRPr="00247FE1" w:rsidRDefault="008C5605" w:rsidP="008C5605">
      <w:pPr>
        <w:pStyle w:val="1"/>
        <w:rPr>
          <w:rStyle w:val="s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247FE1">
        <w:rPr>
          <w:rStyle w:val="s0"/>
          <w:kern w:val="0"/>
          <w:sz w:val="28"/>
          <w:szCs w:val="28"/>
          <w:lang w:val="ru-RU" w:eastAsia="ru-RU" w:bidi="ar-SA"/>
        </w:rPr>
        <w:t>Обязательное предоставление образца.</w:t>
      </w:r>
    </w:p>
    <w:p w:rsidR="008C5605" w:rsidRDefault="008C5605" w:rsidP="008C5605">
      <w:pPr>
        <w:pStyle w:val="1"/>
        <w:rPr>
          <w:lang w:val="ru-RU"/>
        </w:rPr>
      </w:pPr>
    </w:p>
    <w:p w:rsidR="008C5605" w:rsidRDefault="008C5605" w:rsidP="008C5605">
      <w:pPr>
        <w:pStyle w:val="1"/>
        <w:jc w:val="center"/>
        <w:rPr>
          <w:lang w:val="ru-RU"/>
        </w:rPr>
      </w:pPr>
      <w:r>
        <w:rPr>
          <w:lang w:val="ru-RU"/>
        </w:rPr>
        <w:t>ТАБЛИЦА ИЗМЕРЕНИЙ НА КЕПИ УТЕПЛЕННОЕ В ГОТОВОМ ВИДЕ</w:t>
      </w:r>
    </w:p>
    <w:p w:rsidR="008C5605" w:rsidRDefault="008C5605" w:rsidP="008C5605">
      <w:pPr>
        <w:pStyle w:val="1"/>
        <w:rPr>
          <w:lang w:val="ru-RU"/>
        </w:rPr>
      </w:pPr>
    </w:p>
    <w:tbl>
      <w:tblPr>
        <w:tblW w:w="10377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  <w:gridCol w:w="1276"/>
      </w:tblGrid>
      <w:tr w:rsidR="008C5605" w:rsidTr="00BC0847">
        <w:trPr>
          <w:cantSplit/>
          <w:trHeight w:val="113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мест</w:t>
            </w:r>
            <w:proofErr w:type="spellEnd"/>
            <w:r>
              <w:t xml:space="preserve"> </w:t>
            </w:r>
            <w:proofErr w:type="spellStart"/>
            <w:r>
              <w:t>измерений</w:t>
            </w:r>
            <w:proofErr w:type="spellEnd"/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proofErr w:type="spellStart"/>
            <w:r>
              <w:t>Размеры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proofErr w:type="spellStart"/>
            <w:r>
              <w:t>Допуска-емые</w:t>
            </w:r>
            <w:proofErr w:type="spellEnd"/>
            <w:r>
              <w:t xml:space="preserve"> </w:t>
            </w:r>
            <w:proofErr w:type="spellStart"/>
            <w:r>
              <w:t>отклонения</w:t>
            </w:r>
            <w:proofErr w:type="spellEnd"/>
          </w:p>
          <w:p w:rsidR="008C5605" w:rsidRDefault="008C5605" w:rsidP="00BC0847">
            <w:pPr>
              <w:pStyle w:val="1"/>
              <w:jc w:val="center"/>
            </w:pPr>
            <w:r>
              <w:t>+(-)</w:t>
            </w:r>
          </w:p>
        </w:tc>
      </w:tr>
      <w:tr w:rsidR="008C5605" w:rsidTr="00BC0847">
        <w:trPr>
          <w:cantSplit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  <w:r>
              <w:t>62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</w:pPr>
          </w:p>
        </w:tc>
      </w:tr>
      <w:tr w:rsidR="008C5605" w:rsidTr="00BC0847">
        <w:trPr>
          <w:cantSplit/>
          <w:trHeight w:val="603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Высота передней стенки посередине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Длина донышка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Ширина донышка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Длина заднего шва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Длина козырька посередине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Ширина налобника 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Ширина окола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Высота назатыльника 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посередине</w:t>
            </w:r>
          </w:p>
          <w:p w:rsidR="008C5605" w:rsidRDefault="008C5605" w:rsidP="00BC0847">
            <w:pPr>
              <w:pStyle w:val="1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Высота наушников на расстояний 3 см от среза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3,2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16,2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3,2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3,2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19,</w:t>
            </w:r>
            <w:r>
              <w:rPr>
                <w:rStyle w:val="10"/>
                <w:lang w:val="ru-RU"/>
              </w:rPr>
              <w:t>7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17,4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3,2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20,1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18,2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20,9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18,</w:t>
            </w:r>
            <w:r>
              <w:rPr>
                <w:rStyle w:val="10"/>
                <w:lang w:val="ru-RU"/>
              </w:rPr>
              <w:t>6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3,2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</w:p>
          <w:p w:rsidR="008C5605" w:rsidRDefault="008C5605" w:rsidP="00BC0847">
            <w:pPr>
              <w:pStyle w:val="1"/>
              <w:jc w:val="center"/>
            </w:pPr>
            <w:r>
              <w:rPr>
                <w:rStyle w:val="10"/>
                <w:lang w:val="ru-RU"/>
              </w:rPr>
              <w:t>7</w:t>
            </w:r>
            <w:r>
              <w:t>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0,1</w:t>
            </w:r>
          </w:p>
          <w:p w:rsidR="008C5605" w:rsidRDefault="008C5605" w:rsidP="00BC0847">
            <w:pPr>
              <w:pStyle w:val="1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</w:pPr>
            <w:r>
              <w:t>0,2</w:t>
            </w: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</w:pPr>
          </w:p>
          <w:p w:rsidR="008C5605" w:rsidRDefault="008C5605" w:rsidP="00BC0847">
            <w:pPr>
              <w:pStyle w:val="1"/>
              <w:jc w:val="center"/>
            </w:pPr>
          </w:p>
          <w:p w:rsidR="008C5605" w:rsidRDefault="008C5605" w:rsidP="00BC0847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  <w:p w:rsidR="008C5605" w:rsidRDefault="008C5605" w:rsidP="00BC0847">
            <w:pPr>
              <w:pStyle w:val="1"/>
            </w:pPr>
          </w:p>
        </w:tc>
      </w:tr>
    </w:tbl>
    <w:p w:rsidR="008C5605" w:rsidRDefault="008C5605" w:rsidP="008C5605">
      <w:pPr>
        <w:pStyle w:val="Standard"/>
        <w:rPr>
          <w:lang w:val="ru-RU"/>
        </w:rPr>
      </w:pPr>
    </w:p>
    <w:p w:rsidR="008C5605" w:rsidRPr="002929E9" w:rsidRDefault="008C5605" w:rsidP="00FE11BD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A813FA" w:rsidRDefault="00A813FA" w:rsidP="00A813FA">
      <w:pPr>
        <w:rPr>
          <w:b/>
        </w:rPr>
      </w:pPr>
      <w:r w:rsidRPr="00A87CBF">
        <w:rPr>
          <w:b/>
        </w:rPr>
        <w:t>Обязательное предоставление образца.</w:t>
      </w:r>
    </w:p>
    <w:p w:rsidR="00A813FA" w:rsidRPr="00DA708F" w:rsidRDefault="00A813FA" w:rsidP="00A813FA">
      <w:pPr>
        <w:autoSpaceDE w:val="0"/>
        <w:autoSpaceDN w:val="0"/>
        <w:jc w:val="both"/>
        <w:rPr>
          <w:rFonts w:eastAsia="Calibri"/>
        </w:rPr>
      </w:pPr>
      <w:r w:rsidRPr="00DA708F">
        <w:t xml:space="preserve">Образец должен быть предоставлен </w:t>
      </w:r>
      <w:r w:rsidRPr="00DA708F">
        <w:rPr>
          <w:rFonts w:eastAsia="Calibri"/>
        </w:rPr>
        <w:t xml:space="preserve">по адресу: </w:t>
      </w:r>
      <w:proofErr w:type="gramStart"/>
      <w:r w:rsidRPr="00DA708F">
        <w:rPr>
          <w:rFonts w:eastAsia="Calibri"/>
        </w:rPr>
        <w:t>г</w:t>
      </w:r>
      <w:proofErr w:type="gramEnd"/>
      <w:r w:rsidRPr="00DA708F">
        <w:rPr>
          <w:rFonts w:eastAsia="Calibri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DA708F">
        <w:t xml:space="preserve"> </w:t>
      </w:r>
      <w:r w:rsidRPr="00DA708F">
        <w:rPr>
          <w:rFonts w:eastAsia="Calibri"/>
        </w:rPr>
        <w:t xml:space="preserve">Образец должен быть маркирован с указанием </w:t>
      </w:r>
      <w:r>
        <w:rPr>
          <w:rFonts w:eastAsia="Calibri"/>
        </w:rPr>
        <w:t>наименования поставщика</w:t>
      </w:r>
      <w:r w:rsidRPr="00DA708F">
        <w:rPr>
          <w:rFonts w:eastAsia="Calibri"/>
        </w:rPr>
        <w:t>.</w:t>
      </w:r>
    </w:p>
    <w:p w:rsidR="00A813FA" w:rsidRPr="00A87CBF" w:rsidRDefault="00A813FA" w:rsidP="00A813FA">
      <w:pPr>
        <w:rPr>
          <w:b/>
          <w:color w:val="FF0000"/>
        </w:rPr>
      </w:pPr>
      <w:r w:rsidRPr="00A87CBF">
        <w:rPr>
          <w:b/>
          <w:color w:val="FF0000"/>
        </w:rPr>
        <w:t xml:space="preserve">Срок предоставления образца </w:t>
      </w:r>
      <w:r>
        <w:rPr>
          <w:b/>
          <w:color w:val="FF0000"/>
        </w:rPr>
        <w:t xml:space="preserve">до 03.09.2015 </w:t>
      </w:r>
      <w:r w:rsidRPr="00A87CBF">
        <w:rPr>
          <w:b/>
          <w:color w:val="FF0000"/>
        </w:rPr>
        <w:t>(12:00</w:t>
      </w:r>
      <w:r>
        <w:rPr>
          <w:b/>
          <w:color w:val="FF0000"/>
        </w:rPr>
        <w:t>ч.,</w:t>
      </w:r>
      <w:r w:rsidRPr="00A87CBF">
        <w:rPr>
          <w:b/>
          <w:color w:val="FF0000"/>
        </w:rPr>
        <w:t xml:space="preserve"> по времени Астаны).</w:t>
      </w:r>
    </w:p>
    <w:p w:rsidR="00A813FA" w:rsidRPr="00F151EF" w:rsidRDefault="00A813FA" w:rsidP="00A813FA">
      <w:pPr>
        <w:rPr>
          <w:b/>
        </w:rPr>
      </w:pPr>
      <w:r w:rsidRPr="00F151EF">
        <w:rPr>
          <w:b/>
        </w:rPr>
        <w:t>Обязательное предоставление технической спецификации.</w:t>
      </w:r>
    </w:p>
    <w:p w:rsidR="00FE11BD" w:rsidRPr="0027510B" w:rsidRDefault="00FE11BD" w:rsidP="00FE11BD">
      <w:pPr>
        <w:rPr>
          <w:sz w:val="28"/>
          <w:szCs w:val="28"/>
          <w:lang w:val="en-US"/>
        </w:rPr>
      </w:pPr>
    </w:p>
    <w:p w:rsidR="00052DA7" w:rsidRPr="0066533E" w:rsidRDefault="00052DA7"/>
    <w:p w:rsidR="0066533E" w:rsidRPr="00882E0A" w:rsidRDefault="0066533E"/>
    <w:p w:rsidR="0066533E" w:rsidRPr="00AE1F3A" w:rsidRDefault="0066533E"/>
    <w:p w:rsidR="0066533E" w:rsidRPr="00882E0A" w:rsidRDefault="0066533E"/>
    <w:sectPr w:rsidR="0066533E" w:rsidRPr="00882E0A" w:rsidSect="00F55A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1BD"/>
    <w:rsid w:val="00004CD3"/>
    <w:rsid w:val="00032B01"/>
    <w:rsid w:val="0003578F"/>
    <w:rsid w:val="00051FE4"/>
    <w:rsid w:val="00052DA7"/>
    <w:rsid w:val="000A1BC0"/>
    <w:rsid w:val="000A39D2"/>
    <w:rsid w:val="000B4AA3"/>
    <w:rsid w:val="000E12F0"/>
    <w:rsid w:val="00104DF4"/>
    <w:rsid w:val="00112BA6"/>
    <w:rsid w:val="001369F8"/>
    <w:rsid w:val="00142615"/>
    <w:rsid w:val="00180E00"/>
    <w:rsid w:val="001947B6"/>
    <w:rsid w:val="001A3BDA"/>
    <w:rsid w:val="001C2C73"/>
    <w:rsid w:val="00203A26"/>
    <w:rsid w:val="00245A9D"/>
    <w:rsid w:val="00247FE1"/>
    <w:rsid w:val="00252032"/>
    <w:rsid w:val="00263EED"/>
    <w:rsid w:val="0027510B"/>
    <w:rsid w:val="002865F1"/>
    <w:rsid w:val="002B2244"/>
    <w:rsid w:val="002C6073"/>
    <w:rsid w:val="002D506C"/>
    <w:rsid w:val="002D5B7A"/>
    <w:rsid w:val="003014CE"/>
    <w:rsid w:val="00306B2B"/>
    <w:rsid w:val="003236E2"/>
    <w:rsid w:val="003409CD"/>
    <w:rsid w:val="00392878"/>
    <w:rsid w:val="003C5548"/>
    <w:rsid w:val="003E4D57"/>
    <w:rsid w:val="003E7CCA"/>
    <w:rsid w:val="00431678"/>
    <w:rsid w:val="00441495"/>
    <w:rsid w:val="00446E4D"/>
    <w:rsid w:val="004702C9"/>
    <w:rsid w:val="00474A26"/>
    <w:rsid w:val="00491F11"/>
    <w:rsid w:val="004D46B2"/>
    <w:rsid w:val="0050493A"/>
    <w:rsid w:val="00527FC2"/>
    <w:rsid w:val="005336CE"/>
    <w:rsid w:val="00573BF5"/>
    <w:rsid w:val="005C33CA"/>
    <w:rsid w:val="006005E6"/>
    <w:rsid w:val="00652331"/>
    <w:rsid w:val="00656E7E"/>
    <w:rsid w:val="0065722D"/>
    <w:rsid w:val="0066533E"/>
    <w:rsid w:val="0068282E"/>
    <w:rsid w:val="006A7825"/>
    <w:rsid w:val="006B0E09"/>
    <w:rsid w:val="006B7ABD"/>
    <w:rsid w:val="006C2FDD"/>
    <w:rsid w:val="00703832"/>
    <w:rsid w:val="00726DDA"/>
    <w:rsid w:val="00755E5E"/>
    <w:rsid w:val="00787D87"/>
    <w:rsid w:val="007958E2"/>
    <w:rsid w:val="00796C33"/>
    <w:rsid w:val="007D0EE1"/>
    <w:rsid w:val="00810D91"/>
    <w:rsid w:val="0082731D"/>
    <w:rsid w:val="008332D3"/>
    <w:rsid w:val="0085270D"/>
    <w:rsid w:val="008629D8"/>
    <w:rsid w:val="00862F8E"/>
    <w:rsid w:val="0086635A"/>
    <w:rsid w:val="00882E0A"/>
    <w:rsid w:val="008A547E"/>
    <w:rsid w:val="008C5605"/>
    <w:rsid w:val="00921AC1"/>
    <w:rsid w:val="00931EDE"/>
    <w:rsid w:val="0095351B"/>
    <w:rsid w:val="00970E64"/>
    <w:rsid w:val="00984A7E"/>
    <w:rsid w:val="00987716"/>
    <w:rsid w:val="009A63C1"/>
    <w:rsid w:val="009E1ABA"/>
    <w:rsid w:val="00A24870"/>
    <w:rsid w:val="00A452BB"/>
    <w:rsid w:val="00A62BAA"/>
    <w:rsid w:val="00A81075"/>
    <w:rsid w:val="00A813FA"/>
    <w:rsid w:val="00A95924"/>
    <w:rsid w:val="00AA2017"/>
    <w:rsid w:val="00AC19A5"/>
    <w:rsid w:val="00AC59A9"/>
    <w:rsid w:val="00AE1F3A"/>
    <w:rsid w:val="00B05B75"/>
    <w:rsid w:val="00B14D43"/>
    <w:rsid w:val="00B51512"/>
    <w:rsid w:val="00B57787"/>
    <w:rsid w:val="00B86ADC"/>
    <w:rsid w:val="00BA0B3E"/>
    <w:rsid w:val="00BA4CEB"/>
    <w:rsid w:val="00BA64AB"/>
    <w:rsid w:val="00BD6DB6"/>
    <w:rsid w:val="00C00F32"/>
    <w:rsid w:val="00C163BE"/>
    <w:rsid w:val="00C24F00"/>
    <w:rsid w:val="00C3360D"/>
    <w:rsid w:val="00C36FC3"/>
    <w:rsid w:val="00CB11B4"/>
    <w:rsid w:val="00D16739"/>
    <w:rsid w:val="00D452D1"/>
    <w:rsid w:val="00D6713C"/>
    <w:rsid w:val="00D71155"/>
    <w:rsid w:val="00D97272"/>
    <w:rsid w:val="00DA6FBC"/>
    <w:rsid w:val="00DD7FCB"/>
    <w:rsid w:val="00E45954"/>
    <w:rsid w:val="00E7453E"/>
    <w:rsid w:val="00E761A6"/>
    <w:rsid w:val="00E77AD0"/>
    <w:rsid w:val="00E95A16"/>
    <w:rsid w:val="00EC6784"/>
    <w:rsid w:val="00ED00CC"/>
    <w:rsid w:val="00EE1831"/>
    <w:rsid w:val="00F03881"/>
    <w:rsid w:val="00F06998"/>
    <w:rsid w:val="00F41892"/>
    <w:rsid w:val="00F55A34"/>
    <w:rsid w:val="00F56851"/>
    <w:rsid w:val="00F90487"/>
    <w:rsid w:val="00F904E0"/>
    <w:rsid w:val="00F94750"/>
    <w:rsid w:val="00FB5664"/>
    <w:rsid w:val="00FD4720"/>
    <w:rsid w:val="00FD5D8B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11BD"/>
  </w:style>
  <w:style w:type="paragraph" w:styleId="a3">
    <w:name w:val="Balloon Text"/>
    <w:basedOn w:val="a"/>
    <w:link w:val="a4"/>
    <w:uiPriority w:val="99"/>
    <w:semiHidden/>
    <w:unhideWhenUsed/>
    <w:rsid w:val="0066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3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1"/>
    <w:rsid w:val="008C5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10">
    <w:name w:val="Основной шрифт абзаца1"/>
    <w:rsid w:val="008C5605"/>
  </w:style>
  <w:style w:type="paragraph" w:customStyle="1" w:styleId="Standard">
    <w:name w:val="Standard"/>
    <w:rsid w:val="008C5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C560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basedOn w:val="DefaultParagraphFont"/>
    <w:rsid w:val="00FE11BD"/>
  </w:style>
  <w:style w:type="paragraph" w:styleId="BalloonText">
    <w:name w:val="Balloon Text"/>
    <w:basedOn w:val="Normal"/>
    <w:link w:val="BalloonTextChar"/>
    <w:uiPriority w:val="99"/>
    <w:semiHidden/>
    <w:unhideWhenUsed/>
    <w:rsid w:val="0066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Обычный"/>
    <w:rsid w:val="008C5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0">
    <w:name w:val="Основной шрифт абзаца"/>
    <w:rsid w:val="008C5605"/>
  </w:style>
  <w:style w:type="paragraph" w:customStyle="1" w:styleId="Standard">
    <w:name w:val="Standard"/>
    <w:rsid w:val="008C5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C560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Yessenbulatova</dc:creator>
  <cp:lastModifiedBy>Maxut.a</cp:lastModifiedBy>
  <cp:revision>18</cp:revision>
  <dcterms:created xsi:type="dcterms:W3CDTF">2015-08-25T03:15:00Z</dcterms:created>
  <dcterms:modified xsi:type="dcterms:W3CDTF">2015-08-25T04:21:00Z</dcterms:modified>
</cp:coreProperties>
</file>