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FB7DAE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FB7DAE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по закупкам </w:t>
      </w:r>
      <w:r w:rsidR="00FB7DAE" w:rsidRPr="00FB7D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транзитного обеспечения коммерческих грузов на 2017 год</w:t>
      </w:r>
      <w:r w:rsidR="00FB7D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B7DA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27739</w:t>
      </w:r>
      <w:r w:rsidR="0057313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F5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9D59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D59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bookmarkStart w:id="0" w:name="_GoBack"/>
            <w:bookmarkEnd w:id="0"/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B7DA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FB7DAE" w:rsidRDefault="00FB7DA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FB7DAE" w:rsidRDefault="00FB7DA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</w:t>
      </w:r>
      <w:r w:rsidR="004027D1">
        <w:rPr>
          <w:rFonts w:ascii="Times New Roman" w:hAnsi="Times New Roman"/>
          <w:i/>
          <w:color w:val="000080"/>
        </w:rPr>
        <w:t xml:space="preserve"> </w:t>
      </w:r>
      <w:r w:rsidRPr="001232FC">
        <w:rPr>
          <w:rFonts w:ascii="Times New Roman" w:hAnsi="Times New Roman"/>
          <w:i/>
          <w:color w:val="000080"/>
        </w:rPr>
        <w:t>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FB7DA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FB7DAE">
        <w:rPr>
          <w:rFonts w:ascii="Times New Roman" w:hAnsi="Times New Roman"/>
          <w:i/>
          <w:color w:val="000080"/>
        </w:rPr>
        <w:t>Менеджер по грузовым перевозкам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r w:rsidRPr="00FB7DAE">
        <w:rPr>
          <w:rFonts w:ascii="Times New Roman" w:hAnsi="Times New Roman"/>
          <w:i/>
          <w:color w:val="000080"/>
        </w:rPr>
        <w:t>Кононова О. Ю.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9D59F7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B7DAE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FB7DAE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FB7DA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B7DAE" w:rsidRPr="00FB7D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транзитного обеспечения коммерческих грузов на 2017 год</w:t>
      </w:r>
      <w:r w:rsidR="00FB7D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B7DA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B7DA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277399</w:t>
      </w:r>
      <w:r w:rsidR="00FB7DA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B7DA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FB7DA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B7DA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FB7DAE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>
        <w:rPr>
          <w:rFonts w:ascii="Times New Roman" w:hAnsi="Times New Roman"/>
          <w:color w:val="000080"/>
        </w:rPr>
        <w:t>27739</w:t>
      </w:r>
      <w:r w:rsidR="00DF03A0">
        <w:rPr>
          <w:rFonts w:ascii="Times New Roman" w:hAnsi="Times New Roman"/>
          <w:color w:val="000080"/>
        </w:rPr>
        <w:t>9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>
        <w:rPr>
          <w:rFonts w:ascii="Times New Roman" w:hAnsi="Times New Roman"/>
          <w:color w:val="000080"/>
        </w:rPr>
        <w:t>22</w:t>
      </w:r>
      <w:r w:rsidR="001F4DFC" w:rsidRPr="000A6AE2">
        <w:rPr>
          <w:rFonts w:ascii="Times New Roman" w:hAnsi="Times New Roman"/>
          <w:color w:val="000080"/>
        </w:rPr>
        <w:t>.</w:t>
      </w:r>
      <w:r w:rsidR="004A10B3" w:rsidRPr="004A10B3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FB7DAE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</w:t>
            </w:r>
            <w:proofErr w:type="spellEnd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Freight</w:t>
            </w:r>
            <w:proofErr w:type="spellEnd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Customs</w:t>
            </w:r>
            <w:proofErr w:type="spellEnd"/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FB7DAE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DF03A0" w:rsidRPr="00DF03A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Закарпатская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д.</w:t>
            </w:r>
            <w:r w:rsidRPr="00FB7D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158</w:t>
            </w:r>
          </w:p>
        </w:tc>
        <w:tc>
          <w:tcPr>
            <w:tcW w:w="993" w:type="dxa"/>
          </w:tcPr>
          <w:p w:rsidR="007262C6" w:rsidRPr="00C26C25" w:rsidRDefault="00FB7DAE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B7DAE" w:rsidRPr="00FB7DAE">
        <w:rPr>
          <w:b/>
          <w:i/>
          <w:color w:val="000099"/>
          <w:szCs w:val="24"/>
        </w:rPr>
        <w:t>ТОО «</w:t>
      </w:r>
      <w:proofErr w:type="spellStart"/>
      <w:r w:rsidR="00FB7DAE" w:rsidRPr="00FB7DAE">
        <w:rPr>
          <w:b/>
          <w:i/>
          <w:color w:val="000099"/>
          <w:szCs w:val="24"/>
        </w:rPr>
        <w:t>Asia</w:t>
      </w:r>
      <w:proofErr w:type="spellEnd"/>
      <w:r w:rsidR="00FB7DAE" w:rsidRPr="00FB7DAE">
        <w:rPr>
          <w:b/>
          <w:i/>
          <w:color w:val="000099"/>
          <w:szCs w:val="24"/>
        </w:rPr>
        <w:t xml:space="preserve"> </w:t>
      </w:r>
      <w:proofErr w:type="spellStart"/>
      <w:r w:rsidR="00FB7DAE" w:rsidRPr="00FB7DAE">
        <w:rPr>
          <w:b/>
          <w:i/>
          <w:color w:val="000099"/>
          <w:szCs w:val="24"/>
        </w:rPr>
        <w:t>Freight</w:t>
      </w:r>
      <w:proofErr w:type="spellEnd"/>
      <w:r w:rsidR="00FB7DAE" w:rsidRPr="00FB7DAE">
        <w:rPr>
          <w:b/>
          <w:i/>
          <w:color w:val="000099"/>
          <w:szCs w:val="24"/>
        </w:rPr>
        <w:t xml:space="preserve"> </w:t>
      </w:r>
      <w:proofErr w:type="spellStart"/>
      <w:r w:rsidR="00FB7DAE" w:rsidRPr="00FB7DAE">
        <w:rPr>
          <w:b/>
          <w:i/>
          <w:color w:val="000099"/>
          <w:szCs w:val="24"/>
        </w:rPr>
        <w:t>Customs</w:t>
      </w:r>
      <w:proofErr w:type="spellEnd"/>
      <w:r w:rsidR="00FB7DAE" w:rsidRPr="00FB7DAE">
        <w:rPr>
          <w:b/>
          <w:i/>
          <w:color w:val="000099"/>
          <w:szCs w:val="24"/>
        </w:rPr>
        <w:t>»</w:t>
      </w:r>
      <w:r w:rsidR="005E6B21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B7DAE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B7DAE" w:rsidRPr="00613587" w:rsidRDefault="00FB7DA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9370DF" w:rsidRDefault="00FB7DAE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9370DF" w:rsidRDefault="00FB7DAE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9370DF" w:rsidRDefault="00FB7DAE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FB7DAE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B7DAE" w:rsidRPr="00613587" w:rsidRDefault="00FB7DA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</w:t>
            </w:r>
            <w:proofErr w:type="gramStart"/>
            <w:r>
              <w:rPr>
                <w:i/>
                <w:color w:val="000099"/>
              </w:rPr>
              <w:t>и(</w:t>
            </w:r>
            <w:proofErr w:type="gramEnd"/>
            <w:r>
              <w:rPr>
                <w:i/>
                <w:color w:val="000099"/>
              </w:rPr>
              <w:t>наличии) налоговой задолженности налогоплательщика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7355D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FB7DAE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B7DAE" w:rsidRPr="00613587" w:rsidRDefault="00FB7DA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9370DF" w:rsidRDefault="00FB7DAE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9370DF" w:rsidRDefault="00FB7DAE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FB7DAE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B7DAE" w:rsidRPr="00613587" w:rsidRDefault="00FB7DA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FB7DAE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B7DAE" w:rsidRPr="00613587" w:rsidRDefault="00FB7DA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DAE" w:rsidRPr="00613587" w:rsidRDefault="00FB7DAE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Квалификационные аттестаты специалистов по таможенному декларированию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5B1DE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 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 xml:space="preserve">Свидетельство о государственной перерегистрации юридического лица 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наличие счета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9370DF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9370DF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209E7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81FB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D81FB5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назначения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613587" w:rsidRDefault="005B1DE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Ценовое предложение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A11580" w:rsidRDefault="005B1DE5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4027D1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27D1" w:rsidRPr="00613587" w:rsidRDefault="004027D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7D1" w:rsidRPr="00407F61" w:rsidRDefault="004027D1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7D1" w:rsidRPr="00613587" w:rsidRDefault="004027D1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 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7D1" w:rsidRPr="00613587" w:rsidRDefault="004027D1" w:rsidP="005329F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58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B1DE5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B1DE5" w:rsidRPr="00613587" w:rsidRDefault="005B1DE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07F61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1DE5" w:rsidRPr="004A10B3" w:rsidRDefault="005B1DE5" w:rsidP="005329F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4027D1" w:rsidRPr="004027D1">
        <w:rPr>
          <w:i/>
          <w:color w:val="000099"/>
          <w:sz w:val="22"/>
          <w:szCs w:val="22"/>
        </w:rPr>
        <w:t>ТОО «</w:t>
      </w:r>
      <w:proofErr w:type="spellStart"/>
      <w:r w:rsidR="004027D1" w:rsidRPr="004027D1">
        <w:rPr>
          <w:i/>
          <w:color w:val="000099"/>
          <w:sz w:val="22"/>
          <w:szCs w:val="22"/>
        </w:rPr>
        <w:t>Asia</w:t>
      </w:r>
      <w:proofErr w:type="spellEnd"/>
      <w:r w:rsidR="004027D1" w:rsidRPr="004027D1">
        <w:rPr>
          <w:i/>
          <w:color w:val="000099"/>
          <w:sz w:val="22"/>
          <w:szCs w:val="22"/>
        </w:rPr>
        <w:t xml:space="preserve"> </w:t>
      </w:r>
      <w:proofErr w:type="spellStart"/>
      <w:r w:rsidR="004027D1" w:rsidRPr="004027D1">
        <w:rPr>
          <w:i/>
          <w:color w:val="000099"/>
          <w:sz w:val="22"/>
          <w:szCs w:val="22"/>
        </w:rPr>
        <w:t>Freight</w:t>
      </w:r>
      <w:proofErr w:type="spellEnd"/>
      <w:r w:rsidR="004027D1" w:rsidRPr="004027D1">
        <w:rPr>
          <w:i/>
          <w:color w:val="000099"/>
          <w:sz w:val="22"/>
          <w:szCs w:val="22"/>
        </w:rPr>
        <w:t xml:space="preserve"> </w:t>
      </w:r>
      <w:proofErr w:type="spellStart"/>
      <w:r w:rsidR="004027D1" w:rsidRPr="004027D1">
        <w:rPr>
          <w:i/>
          <w:color w:val="000099"/>
          <w:sz w:val="22"/>
          <w:szCs w:val="22"/>
        </w:rPr>
        <w:t>Customs</w:t>
      </w:r>
      <w:proofErr w:type="spellEnd"/>
      <w:r w:rsidR="004027D1" w:rsidRPr="004027D1">
        <w:rPr>
          <w:i/>
          <w:color w:val="000099"/>
          <w:sz w:val="22"/>
          <w:szCs w:val="22"/>
        </w:rPr>
        <w:t>»</w:t>
      </w:r>
      <w:r w:rsidR="004027D1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4027D1" w:rsidRDefault="004027D1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4027D1" w:rsidRDefault="004027D1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                                                                                                       </w:t>
            </w:r>
          </w:p>
          <w:p w:rsidR="004027D1" w:rsidRDefault="004027D1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027D1" w:rsidRDefault="004027D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027D1" w:rsidRPr="00F54698" w:rsidRDefault="004027D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D59F7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FB7DAE">
              <w:rPr>
                <w:rFonts w:ascii="Times New Roman" w:hAnsi="Times New Roman"/>
                <w:i/>
                <w:color w:val="000080"/>
              </w:rPr>
              <w:t>Менеджер по грузовым перевозкам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9D59F7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FB7DAE">
              <w:rPr>
                <w:rFonts w:ascii="Times New Roman" w:hAnsi="Times New Roman"/>
                <w:i/>
                <w:color w:val="000080"/>
              </w:rPr>
              <w:t>Кононова О. Ю.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4027D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9D59F7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B5" w:rsidRDefault="002B62B5">
      <w:pPr>
        <w:spacing w:after="0" w:line="240" w:lineRule="auto"/>
      </w:pPr>
      <w:r>
        <w:separator/>
      </w:r>
    </w:p>
  </w:endnote>
  <w:endnote w:type="continuationSeparator" w:id="0">
    <w:p w:rsidR="002B62B5" w:rsidRDefault="002B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B5" w:rsidRDefault="002B62B5">
      <w:pPr>
        <w:spacing w:after="0" w:line="240" w:lineRule="auto"/>
      </w:pPr>
      <w:r>
        <w:separator/>
      </w:r>
    </w:p>
  </w:footnote>
  <w:footnote w:type="continuationSeparator" w:id="0">
    <w:p w:rsidR="002B62B5" w:rsidRDefault="002B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308A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2B5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27D1"/>
    <w:rsid w:val="004041AB"/>
    <w:rsid w:val="00407F61"/>
    <w:rsid w:val="004135C0"/>
    <w:rsid w:val="00420A6D"/>
    <w:rsid w:val="00420ADC"/>
    <w:rsid w:val="00427FB5"/>
    <w:rsid w:val="0044479A"/>
    <w:rsid w:val="004456F9"/>
    <w:rsid w:val="00452428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1DE5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59F7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B7DAE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51</cp:revision>
  <cp:lastPrinted>2016-09-09T02:50:00Z</cp:lastPrinted>
  <dcterms:created xsi:type="dcterms:W3CDTF">2016-08-08T02:39:00Z</dcterms:created>
  <dcterms:modified xsi:type="dcterms:W3CDTF">2016-12-05T07:40:00Z</dcterms:modified>
</cp:coreProperties>
</file>