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3A" w:rsidRPr="006A1F3A" w:rsidRDefault="006A1F3A" w:rsidP="006A1F3A">
      <w:pPr>
        <w:pStyle w:val="a3"/>
        <w:spacing w:before="0" w:beforeAutospacing="0" w:after="0" w:afterAutospacing="0"/>
        <w:rPr>
          <w:lang w:val="kk-KZ"/>
        </w:rPr>
      </w:pPr>
      <w:bookmarkStart w:id="0" w:name="_GoBack"/>
      <w:bookmarkEnd w:id="0"/>
    </w:p>
    <w:p w:rsidR="006A1F3A" w:rsidRDefault="006A1F3A" w:rsidP="00E15FD7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15FD7">
        <w:rPr>
          <w:b/>
        </w:rPr>
        <w:t>Техническая спецификация закупаемых услуг.</w:t>
      </w:r>
    </w:p>
    <w:p w:rsidR="00F30BDE" w:rsidRDefault="00F30BDE" w:rsidP="00E15FD7">
      <w:pPr>
        <w:pStyle w:val="a3"/>
        <w:spacing w:before="0" w:beforeAutospacing="0" w:after="0" w:afterAutospacing="0"/>
        <w:ind w:firstLine="708"/>
        <w:jc w:val="center"/>
        <w:rPr>
          <w:b/>
          <w:lang w:val="kk-KZ"/>
        </w:rPr>
      </w:pPr>
    </w:p>
    <w:p w:rsidR="00F30BDE" w:rsidRPr="00F30BDE" w:rsidRDefault="00262DC8" w:rsidP="00F30BDE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Закуп</w:t>
      </w:r>
      <w:r w:rsidR="00F30BDE" w:rsidRPr="00F30BDE">
        <w:rPr>
          <w:b/>
        </w:rPr>
        <w:t xml:space="preserve"> консуль</w:t>
      </w:r>
      <w:r w:rsidR="00E07463">
        <w:rPr>
          <w:b/>
        </w:rPr>
        <w:t>тационных услуг по юридическому</w:t>
      </w:r>
      <w:r w:rsidR="00E07463" w:rsidRPr="00E07463">
        <w:rPr>
          <w:b/>
        </w:rPr>
        <w:t xml:space="preserve"> </w:t>
      </w:r>
      <w:r w:rsidR="00F30BDE" w:rsidRPr="00F30BDE">
        <w:rPr>
          <w:b/>
        </w:rPr>
        <w:t>сопровождению сдел</w:t>
      </w:r>
      <w:r w:rsidR="00DD4376">
        <w:rPr>
          <w:b/>
        </w:rPr>
        <w:t xml:space="preserve">ки по </w:t>
      </w:r>
      <w:r w:rsidR="00623536">
        <w:rPr>
          <w:b/>
        </w:rPr>
        <w:t>внесению изменений в Устав АО «Эйр Астана» и юридическому сопровождению соглашения с инвестиционными банками</w:t>
      </w:r>
      <w:r w:rsidR="003B21D2">
        <w:rPr>
          <w:b/>
        </w:rPr>
        <w:t xml:space="preserve"> в рамках процесса подготовки к </w:t>
      </w:r>
      <w:r w:rsidR="003B21D2">
        <w:rPr>
          <w:b/>
          <w:lang w:val="en-GB"/>
        </w:rPr>
        <w:t>IPO</w:t>
      </w:r>
      <w:r w:rsidR="00F30BDE" w:rsidRPr="00F30BDE">
        <w:rPr>
          <w:b/>
        </w:rPr>
        <w:t xml:space="preserve">. </w:t>
      </w:r>
    </w:p>
    <w:p w:rsidR="00623536" w:rsidRDefault="00623536" w:rsidP="00E15FD7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E375B9" w:rsidRDefault="00E375B9" w:rsidP="00E375B9">
      <w:pPr>
        <w:pStyle w:val="a4"/>
        <w:numPr>
          <w:ilvl w:val="0"/>
          <w:numId w:val="8"/>
        </w:numPr>
        <w:tabs>
          <w:tab w:val="left" w:pos="284"/>
        </w:tabs>
        <w:spacing w:before="120" w:after="120"/>
        <w:ind w:hanging="284"/>
        <w:contextualSpacing/>
        <w:jc w:val="both"/>
        <w:rPr>
          <w:rFonts w:ascii="Times New Roman" w:hAnsi="Times New Roman"/>
          <w:b/>
          <w:sz w:val="24"/>
          <w:lang w:val="ru-RU"/>
        </w:rPr>
      </w:pPr>
      <w:r w:rsidRPr="00934328">
        <w:rPr>
          <w:rFonts w:ascii="Times New Roman" w:eastAsia="Times New Roman" w:hAnsi="Times New Roman"/>
          <w:b/>
          <w:sz w:val="24"/>
          <w:szCs w:val="24"/>
          <w:lang w:val="ru-RU"/>
        </w:rPr>
        <w:t>Требования к услуге:</w:t>
      </w:r>
      <w:r w:rsidRPr="00934328">
        <w:rPr>
          <w:rFonts w:ascii="Times New Roman" w:hAnsi="Times New Roman"/>
          <w:b/>
          <w:sz w:val="24"/>
          <w:lang w:val="ru-RU"/>
        </w:rPr>
        <w:t xml:space="preserve"> </w:t>
      </w:r>
    </w:p>
    <w:p w:rsidR="00E375B9" w:rsidRPr="00E50E46" w:rsidRDefault="00E375B9" w:rsidP="00E375B9">
      <w:pPr>
        <w:pStyle w:val="a4"/>
        <w:tabs>
          <w:tab w:val="left" w:pos="284"/>
        </w:tabs>
        <w:spacing w:before="120" w:after="120"/>
        <w:contextualSpacing/>
        <w:jc w:val="both"/>
        <w:rPr>
          <w:rFonts w:ascii="Times New Roman" w:hAnsi="Times New Roman"/>
          <w:b/>
          <w:sz w:val="24"/>
          <w:lang w:val="ru-RU"/>
        </w:rPr>
      </w:pPr>
    </w:p>
    <w:p w:rsidR="00E375B9" w:rsidRPr="00E50E46" w:rsidRDefault="00E375B9" w:rsidP="00E375B9">
      <w:pPr>
        <w:pStyle w:val="a4"/>
        <w:tabs>
          <w:tab w:val="left" w:pos="284"/>
        </w:tabs>
        <w:spacing w:before="120" w:after="120"/>
        <w:ind w:left="0"/>
        <w:contextualSpacing/>
        <w:jc w:val="both"/>
        <w:rPr>
          <w:rFonts w:ascii="Times New Roman" w:hAnsi="Times New Roman"/>
          <w:b/>
          <w:sz w:val="24"/>
          <w:lang w:val="ru-RU"/>
        </w:rPr>
      </w:pPr>
      <w:r w:rsidRPr="00E50E46">
        <w:rPr>
          <w:rFonts w:ascii="Times New Roman" w:eastAsia="Times New Roman" w:hAnsi="Times New Roman"/>
          <w:b/>
          <w:sz w:val="24"/>
          <w:szCs w:val="24"/>
          <w:lang w:val="ru-RU"/>
        </w:rPr>
        <w:t>Услуга должна включать, но не ограничиваться</w:t>
      </w:r>
      <w:r w:rsidRPr="00E50E46">
        <w:rPr>
          <w:rFonts w:ascii="Times New Roman" w:hAnsi="Times New Roman"/>
          <w:b/>
          <w:sz w:val="24"/>
          <w:lang w:val="ru-RU"/>
        </w:rPr>
        <w:t>:</w:t>
      </w:r>
    </w:p>
    <w:p w:rsidR="008A44FC" w:rsidRDefault="00EA3A46" w:rsidP="00971E0D">
      <w:pPr>
        <w:pStyle w:val="a3"/>
        <w:numPr>
          <w:ilvl w:val="0"/>
          <w:numId w:val="2"/>
        </w:numPr>
        <w:jc w:val="both"/>
        <w:rPr>
          <w:lang w:eastAsia="en-US"/>
        </w:rPr>
      </w:pPr>
      <w:r>
        <w:rPr>
          <w:lang w:val="kk-KZ" w:eastAsia="en-US"/>
        </w:rPr>
        <w:t>Ю</w:t>
      </w:r>
      <w:r w:rsidR="00971E0D">
        <w:rPr>
          <w:lang w:val="kk-KZ" w:eastAsia="en-US"/>
        </w:rPr>
        <w:t>ридическое</w:t>
      </w:r>
      <w:r w:rsidR="00971E0D">
        <w:rPr>
          <w:lang w:eastAsia="en-US"/>
        </w:rPr>
        <w:t xml:space="preserve"> сопровождение </w:t>
      </w:r>
      <w:r w:rsidR="00623536">
        <w:rPr>
          <w:lang w:eastAsia="en-US"/>
        </w:rPr>
        <w:t>внесения изменений в</w:t>
      </w:r>
      <w:r w:rsidR="00434DA2">
        <w:rPr>
          <w:lang w:val="en-US" w:eastAsia="en-US"/>
        </w:rPr>
        <w:t xml:space="preserve"> </w:t>
      </w:r>
      <w:r w:rsidR="00434DA2">
        <w:rPr>
          <w:lang w:eastAsia="en-US"/>
        </w:rPr>
        <w:t>Устав Общества в связи с планируемым первичным</w:t>
      </w:r>
      <w:r w:rsidR="00623536">
        <w:rPr>
          <w:lang w:eastAsia="en-US"/>
        </w:rPr>
        <w:t xml:space="preserve"> публичными размещением акций</w:t>
      </w:r>
      <w:r w:rsidR="002B612A">
        <w:rPr>
          <w:lang w:val="en-GB" w:eastAsia="en-US"/>
        </w:rPr>
        <w:t xml:space="preserve"> (IPO)</w:t>
      </w:r>
      <w:r w:rsidR="00623536">
        <w:rPr>
          <w:lang w:eastAsia="en-US"/>
        </w:rPr>
        <w:t xml:space="preserve"> АО «Эйр Астана»</w:t>
      </w:r>
      <w:r w:rsidR="00434DA2">
        <w:rPr>
          <w:lang w:eastAsia="en-US"/>
        </w:rPr>
        <w:t>.</w:t>
      </w:r>
    </w:p>
    <w:p w:rsidR="00434DA2" w:rsidRDefault="00434DA2" w:rsidP="00434DA2">
      <w:pPr>
        <w:numPr>
          <w:ilvl w:val="0"/>
          <w:numId w:val="2"/>
        </w:numPr>
        <w:jc w:val="both"/>
      </w:pPr>
      <w:r>
        <w:t xml:space="preserve">Проведение и подготовка сравнительного анализа с разъяснениями на предмет соответствия  текущего Устава Общества структуре и положениям устава публичной компании в соответствии с законодательством Республики Казахстан; </w:t>
      </w:r>
    </w:p>
    <w:p w:rsidR="00434DA2" w:rsidRDefault="00434DA2" w:rsidP="00434DA2">
      <w:pPr>
        <w:numPr>
          <w:ilvl w:val="0"/>
          <w:numId w:val="2"/>
        </w:numPr>
        <w:jc w:val="both"/>
      </w:pPr>
      <w:r>
        <w:t>Предоставление рекомендаций касательно внесения промежуточных изменений в текущий Устав в связи с пересмотром состава Совета директоров Общества.</w:t>
      </w:r>
    </w:p>
    <w:p w:rsidR="00434DA2" w:rsidRDefault="00434DA2" w:rsidP="00434DA2">
      <w:pPr>
        <w:numPr>
          <w:ilvl w:val="0"/>
          <w:numId w:val="2"/>
        </w:numPr>
        <w:jc w:val="both"/>
      </w:pPr>
      <w:r>
        <w:t xml:space="preserve">Подготовка проекта нового Устава для публичной компании на английском и русском языках с учетом требований казахстанского законодательства и передовых практик корпоративного управления для публичных компаний. Соответствующие положения Устава должны учитывать специфику деятельности Общества.  </w:t>
      </w:r>
    </w:p>
    <w:p w:rsidR="00434DA2" w:rsidRDefault="00434DA2" w:rsidP="00434DA2">
      <w:pPr>
        <w:numPr>
          <w:ilvl w:val="0"/>
          <w:numId w:val="2"/>
        </w:numPr>
        <w:jc w:val="both"/>
      </w:pPr>
      <w:r>
        <w:t xml:space="preserve">Предоставление рекомендаций касательно необходимых мер и сроков реализации (а) внесения промежуточных поправок в текущий Устав и/или (б) утверждения нового  Устава с учетом графика подготовки </w:t>
      </w:r>
      <w:r>
        <w:rPr>
          <w:lang w:val="en-GB"/>
        </w:rPr>
        <w:t>IPO</w:t>
      </w:r>
      <w:r>
        <w:t>.</w:t>
      </w:r>
    </w:p>
    <w:p w:rsidR="00434DA2" w:rsidRDefault="00434DA2" w:rsidP="00434DA2">
      <w:pPr>
        <w:numPr>
          <w:ilvl w:val="0"/>
          <w:numId w:val="2"/>
        </w:numPr>
        <w:jc w:val="both"/>
        <w:rPr>
          <w:lang w:eastAsia="en-US"/>
        </w:rPr>
      </w:pPr>
      <w:r w:rsidRPr="00924663">
        <w:t xml:space="preserve">участие в конференц-звонках </w:t>
      </w:r>
      <w:r>
        <w:t xml:space="preserve">(при необходимости). </w:t>
      </w:r>
    </w:p>
    <w:p w:rsidR="00434DA2" w:rsidRDefault="00434DA2" w:rsidP="00434DA2">
      <w:pPr>
        <w:numPr>
          <w:ilvl w:val="0"/>
          <w:numId w:val="2"/>
        </w:numPr>
        <w:jc w:val="both"/>
      </w:pPr>
      <w:r>
        <w:t>Документы должны быть в обороте не более чем 3 раза.</w:t>
      </w:r>
    </w:p>
    <w:p w:rsidR="00E71164" w:rsidRDefault="00E71164" w:rsidP="00434DA2">
      <w:pPr>
        <w:ind w:left="360"/>
        <w:jc w:val="both"/>
        <w:rPr>
          <w:lang w:eastAsia="en-US"/>
        </w:rPr>
      </w:pPr>
    </w:p>
    <w:p w:rsidR="00E375B9" w:rsidRPr="00013154" w:rsidRDefault="00AE661B" w:rsidP="00E375B9">
      <w:pPr>
        <w:numPr>
          <w:ilvl w:val="0"/>
          <w:numId w:val="2"/>
        </w:numPr>
        <w:jc w:val="both"/>
        <w:rPr>
          <w:lang w:eastAsia="en-US"/>
        </w:rPr>
      </w:pPr>
      <w:r w:rsidRPr="00013154">
        <w:t>Юридическое сопровождение соглашения</w:t>
      </w:r>
      <w:r w:rsidR="00E71164" w:rsidRPr="00013154">
        <w:t xml:space="preserve"> на предоставление услуг </w:t>
      </w:r>
      <w:r w:rsidR="00021104" w:rsidRPr="00013154">
        <w:t xml:space="preserve">совместных ведущих менеджеров и совместных </w:t>
      </w:r>
      <w:proofErr w:type="spellStart"/>
      <w:r w:rsidR="00021104" w:rsidRPr="00013154">
        <w:t>букраннеров</w:t>
      </w:r>
      <w:proofErr w:type="spellEnd"/>
      <w:r w:rsidR="00021104" w:rsidRPr="00013154">
        <w:t xml:space="preserve"> инвестиционными банками по первичному публичному размещению акций Общества</w:t>
      </w:r>
      <w:r w:rsidR="00E375B9" w:rsidRPr="00013154">
        <w:t>;</w:t>
      </w:r>
    </w:p>
    <w:p w:rsidR="00A5627D" w:rsidRPr="00013154" w:rsidRDefault="00A5627D" w:rsidP="00E375B9">
      <w:pPr>
        <w:numPr>
          <w:ilvl w:val="0"/>
          <w:numId w:val="2"/>
        </w:numPr>
        <w:jc w:val="both"/>
        <w:rPr>
          <w:lang w:eastAsia="en-US"/>
        </w:rPr>
      </w:pPr>
      <w:r w:rsidRPr="00013154">
        <w:t xml:space="preserve">подготовка </w:t>
      </w:r>
      <w:proofErr w:type="gramStart"/>
      <w:r w:rsidRPr="00013154">
        <w:t>комментариев/изменений</w:t>
      </w:r>
      <w:proofErr w:type="gramEnd"/>
      <w:r w:rsidRPr="00013154">
        <w:t>/дополнений к соглашению;</w:t>
      </w:r>
    </w:p>
    <w:p w:rsidR="00CC166A" w:rsidRPr="00013154" w:rsidRDefault="009F64C3" w:rsidP="00CC166A">
      <w:pPr>
        <w:numPr>
          <w:ilvl w:val="0"/>
          <w:numId w:val="2"/>
        </w:numPr>
        <w:jc w:val="both"/>
        <w:rPr>
          <w:lang w:eastAsia="en-US"/>
        </w:rPr>
      </w:pPr>
      <w:r w:rsidRPr="00013154">
        <w:t>п</w:t>
      </w:r>
      <w:r w:rsidR="00CC166A" w:rsidRPr="00013154">
        <w:t>редоставление консультаций об отдельных аспектах сделки, а также содействие в решении критичных вопросов в рамках сделки;</w:t>
      </w:r>
    </w:p>
    <w:p w:rsidR="0016383E" w:rsidRDefault="009F64C3" w:rsidP="002F4852">
      <w:pPr>
        <w:numPr>
          <w:ilvl w:val="0"/>
          <w:numId w:val="2"/>
        </w:numPr>
        <w:jc w:val="both"/>
        <w:rPr>
          <w:lang w:eastAsia="en-US"/>
        </w:rPr>
      </w:pPr>
      <w:r w:rsidRPr="00013154">
        <w:t>у</w:t>
      </w:r>
      <w:r w:rsidR="00CC166A" w:rsidRPr="00013154">
        <w:t xml:space="preserve">частие в конференц-звонках </w:t>
      </w:r>
      <w:r w:rsidR="00DA2653" w:rsidRPr="00013154">
        <w:t>и/</w:t>
      </w:r>
      <w:r w:rsidR="00CC166A" w:rsidRPr="00013154">
        <w:t xml:space="preserve">или очное участие в </w:t>
      </w:r>
      <w:r w:rsidR="0016383E" w:rsidRPr="00013154">
        <w:t>переговорах (при необходимости);</w:t>
      </w:r>
    </w:p>
    <w:p w:rsidR="00013154" w:rsidRPr="00013154" w:rsidRDefault="00013154" w:rsidP="002F4852">
      <w:pPr>
        <w:numPr>
          <w:ilvl w:val="0"/>
          <w:numId w:val="2"/>
        </w:numPr>
        <w:jc w:val="both"/>
        <w:rPr>
          <w:lang w:eastAsia="en-US"/>
        </w:rPr>
      </w:pPr>
      <w:r w:rsidRPr="00013154">
        <w:rPr>
          <w:lang w:eastAsia="en-US"/>
        </w:rPr>
        <w:t>юридическая консультация по соглашению должна быть представлена в соответствии</w:t>
      </w:r>
      <w:r w:rsidRPr="00924663">
        <w:rPr>
          <w:lang w:eastAsia="en-US"/>
        </w:rPr>
        <w:t xml:space="preserve"> с</w:t>
      </w:r>
      <w:r w:rsidRPr="007B3761">
        <w:rPr>
          <w:lang w:eastAsia="en-US"/>
        </w:rPr>
        <w:t xml:space="preserve"> правовыми нормами Великобритании</w:t>
      </w:r>
      <w:r>
        <w:rPr>
          <w:lang w:eastAsia="en-US"/>
        </w:rPr>
        <w:t>.</w:t>
      </w:r>
    </w:p>
    <w:p w:rsidR="00D22197" w:rsidRPr="00D22197" w:rsidRDefault="00D22197" w:rsidP="00D22197">
      <w:pPr>
        <w:ind w:left="720"/>
        <w:jc w:val="both"/>
        <w:rPr>
          <w:highlight w:val="yellow"/>
        </w:rPr>
      </w:pPr>
    </w:p>
    <w:p w:rsidR="00C7236F" w:rsidRPr="00055ED4" w:rsidRDefault="00CC166A" w:rsidP="00CC166A">
      <w:pPr>
        <w:pStyle w:val="a4"/>
        <w:numPr>
          <w:ilvl w:val="0"/>
          <w:numId w:val="8"/>
        </w:numPr>
        <w:tabs>
          <w:tab w:val="left" w:pos="284"/>
        </w:tabs>
        <w:spacing w:before="120" w:after="120"/>
        <w:contextualSpacing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A55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Требования к </w:t>
      </w:r>
      <w:r w:rsidRPr="00055ED4">
        <w:rPr>
          <w:rFonts w:ascii="Times New Roman" w:eastAsia="Times New Roman" w:hAnsi="Times New Roman"/>
          <w:b/>
          <w:sz w:val="24"/>
          <w:szCs w:val="24"/>
          <w:lang w:val="ru-RU"/>
        </w:rPr>
        <w:t>квалификации работников Исполнителя:</w:t>
      </w:r>
    </w:p>
    <w:p w:rsidR="00CC166A" w:rsidRPr="00055ED4" w:rsidRDefault="00CC166A" w:rsidP="00C7236F">
      <w:pPr>
        <w:pStyle w:val="a4"/>
        <w:tabs>
          <w:tab w:val="left" w:pos="284"/>
        </w:tabs>
        <w:spacing w:before="120" w:after="12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055ED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AE50B7" w:rsidRPr="00764F0B" w:rsidRDefault="00503FAF" w:rsidP="00764F0B">
      <w:pPr>
        <w:pStyle w:val="a4"/>
        <w:numPr>
          <w:ilvl w:val="0"/>
          <w:numId w:val="11"/>
        </w:numPr>
        <w:tabs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Консультирующая сторона должна обеспечить сопровождение сделки как минимум </w:t>
      </w:r>
      <w:r w:rsidR="00096E89">
        <w:rPr>
          <w:rFonts w:ascii="Times New Roman" w:eastAsia="Times New Roman" w:hAnsi="Times New Roman"/>
          <w:sz w:val="24"/>
          <w:szCs w:val="24"/>
          <w:lang w:val="ru-RU"/>
        </w:rPr>
        <w:t>четырьмя юристами,</w:t>
      </w:r>
      <w:r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81195">
        <w:rPr>
          <w:rFonts w:ascii="Times New Roman" w:eastAsia="Times New Roman" w:hAnsi="Times New Roman"/>
          <w:sz w:val="24"/>
          <w:szCs w:val="24"/>
          <w:lang w:val="ru-RU"/>
        </w:rPr>
        <w:t>двое из которых долж</w:t>
      </w:r>
      <w:r w:rsidR="00BF28F2" w:rsidRPr="00C74851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281195">
        <w:rPr>
          <w:rFonts w:ascii="Times New Roman" w:eastAsia="Times New Roman" w:hAnsi="Times New Roman"/>
          <w:sz w:val="24"/>
          <w:szCs w:val="24"/>
          <w:lang w:val="ru-RU"/>
        </w:rPr>
        <w:t xml:space="preserve">ы знать английское право и один из которых </w:t>
      </w:r>
      <w:r w:rsidR="00080CB5" w:rsidRPr="00C74851">
        <w:rPr>
          <w:rFonts w:ascii="Times New Roman" w:eastAsia="Times New Roman" w:hAnsi="Times New Roman"/>
          <w:sz w:val="24"/>
          <w:szCs w:val="24"/>
          <w:lang w:val="ru-RU"/>
        </w:rPr>
        <w:t>должен консультировать согласно</w:t>
      </w:r>
      <w:r w:rsidR="00BF28F2"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 право</w:t>
      </w:r>
      <w:r w:rsidR="00080CB5" w:rsidRPr="00C74851">
        <w:rPr>
          <w:rFonts w:ascii="Times New Roman" w:eastAsia="Times New Roman" w:hAnsi="Times New Roman"/>
          <w:sz w:val="24"/>
          <w:szCs w:val="24"/>
          <w:lang w:val="ru-RU"/>
        </w:rPr>
        <w:t>вым нормам</w:t>
      </w:r>
      <w:r w:rsidR="00BF28F2"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96E89">
        <w:rPr>
          <w:rFonts w:ascii="Times New Roman" w:eastAsia="Times New Roman" w:hAnsi="Times New Roman"/>
          <w:sz w:val="24"/>
          <w:szCs w:val="24"/>
          <w:lang w:val="ru-RU"/>
        </w:rPr>
        <w:t>Республики Казахстан</w:t>
      </w:r>
      <w:r w:rsidR="00BF28F2"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096E89">
        <w:rPr>
          <w:rFonts w:ascii="Times New Roman" w:eastAsia="Times New Roman" w:hAnsi="Times New Roman"/>
          <w:sz w:val="24"/>
          <w:szCs w:val="24"/>
          <w:lang w:val="ru-RU"/>
        </w:rPr>
        <w:t>Все юристы, привлеченные на сделку,</w:t>
      </w:r>
      <w:r w:rsidR="00BF28F2"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 должны </w:t>
      </w:r>
      <w:r w:rsidRPr="00C74851">
        <w:rPr>
          <w:rFonts w:ascii="Times New Roman" w:eastAsia="Times New Roman" w:hAnsi="Times New Roman"/>
          <w:sz w:val="24"/>
          <w:szCs w:val="24"/>
          <w:lang w:val="ru-RU"/>
        </w:rPr>
        <w:t>владе</w:t>
      </w:r>
      <w:r w:rsidR="00BF28F2" w:rsidRPr="00C74851">
        <w:rPr>
          <w:rFonts w:ascii="Times New Roman" w:eastAsia="Times New Roman" w:hAnsi="Times New Roman"/>
          <w:sz w:val="24"/>
          <w:szCs w:val="24"/>
          <w:lang w:val="ru-RU"/>
        </w:rPr>
        <w:t>ть</w:t>
      </w:r>
      <w:r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 английским языком</w:t>
      </w:r>
      <w:r w:rsidR="00055ED4" w:rsidRPr="00C74851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BF28F2"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Как минимум 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t>трое</w:t>
      </w:r>
      <w:r w:rsidR="00096E89">
        <w:rPr>
          <w:rFonts w:ascii="Times New Roman" w:eastAsia="Times New Roman" w:hAnsi="Times New Roman"/>
          <w:sz w:val="24"/>
          <w:szCs w:val="24"/>
          <w:lang w:val="ru-RU"/>
        </w:rPr>
        <w:t xml:space="preserve"> из юристов должны</w:t>
      </w:r>
      <w:r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 быть партнер</w:t>
      </w:r>
      <w:r w:rsidR="00096E89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C74851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096E89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t>, один из которых должен быть представлен казахстанской стороной</w:t>
      </w:r>
      <w:r w:rsidRPr="00C7485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503FAF" w:rsidRPr="008D73F2" w:rsidRDefault="00DB4D9F" w:rsidP="00503FAF">
      <w:pPr>
        <w:pStyle w:val="a4"/>
        <w:numPr>
          <w:ilvl w:val="0"/>
          <w:numId w:val="11"/>
        </w:numPr>
        <w:tabs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Как минимум один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t xml:space="preserve"> из п</w:t>
      </w:r>
      <w:r w:rsidR="00503FAF" w:rsidRPr="00486DC6">
        <w:rPr>
          <w:rFonts w:ascii="Times New Roman" w:eastAsia="Times New Roman" w:hAnsi="Times New Roman"/>
          <w:sz w:val="24"/>
          <w:szCs w:val="24"/>
          <w:lang w:val="ru-RU"/>
        </w:rPr>
        <w:t>артнер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t>ов долж</w:t>
      </w:r>
      <w:r>
        <w:rPr>
          <w:rFonts w:ascii="Times New Roman" w:eastAsia="Times New Roman" w:hAnsi="Times New Roman"/>
          <w:sz w:val="24"/>
          <w:szCs w:val="24"/>
          <w:lang w:val="ru-RU"/>
        </w:rPr>
        <w:t>ен</w:t>
      </w:r>
      <w:r w:rsidR="002A458A">
        <w:rPr>
          <w:rFonts w:ascii="Times New Roman" w:eastAsia="Times New Roman" w:hAnsi="Times New Roman"/>
          <w:sz w:val="24"/>
          <w:szCs w:val="24"/>
          <w:lang w:val="ru-RU"/>
        </w:rPr>
        <w:t xml:space="preserve"> иметь опыт проведения сделок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 рынках капитала, а также </w:t>
      </w:r>
      <w:r w:rsidR="002A458A">
        <w:rPr>
          <w:rFonts w:ascii="Times New Roman" w:eastAsia="Times New Roman" w:hAnsi="Times New Roman"/>
          <w:sz w:val="24"/>
          <w:szCs w:val="24"/>
          <w:lang w:val="ru-RU"/>
        </w:rPr>
        <w:t>в соответствии с Правилами 144а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ED2D4A">
        <w:rPr>
          <w:rFonts w:ascii="Times New Roman" w:eastAsia="Times New Roman" w:hAnsi="Times New Roman"/>
          <w:sz w:val="24"/>
          <w:szCs w:val="24"/>
          <w:lang w:val="en-GB"/>
        </w:rPr>
        <w:t>Reg</w:t>
      </w:r>
      <w:proofErr w:type="spellEnd"/>
      <w:r w:rsidR="00ED2D4A">
        <w:rPr>
          <w:rFonts w:ascii="Times New Roman" w:eastAsia="Times New Roman" w:hAnsi="Times New Roman"/>
          <w:sz w:val="24"/>
          <w:szCs w:val="24"/>
          <w:lang w:val="en-GB"/>
        </w:rPr>
        <w:t xml:space="preserve"> S 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t xml:space="preserve">Комиссии по Ценным Бумагам США. Как минимум один партнер должен иметь </w:t>
      </w:r>
      <w:r w:rsidR="00A6306C">
        <w:rPr>
          <w:rFonts w:ascii="Times New Roman" w:eastAsia="Times New Roman" w:hAnsi="Times New Roman"/>
          <w:sz w:val="24"/>
          <w:szCs w:val="24"/>
          <w:lang w:val="ru-RU"/>
        </w:rPr>
        <w:t xml:space="preserve">опыт 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t xml:space="preserve">предоставления 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консультационных услуг по сделкам, связанным с рынком ценных бумаг. </w:t>
      </w:r>
      <w:r w:rsidR="00503FAF" w:rsidRPr="008D73F2">
        <w:rPr>
          <w:rFonts w:ascii="Times New Roman" w:eastAsia="Times New Roman" w:hAnsi="Times New Roman"/>
          <w:sz w:val="24"/>
          <w:szCs w:val="24"/>
          <w:lang w:val="ru-RU"/>
        </w:rPr>
        <w:t xml:space="preserve">Подтверждающим документом будет считаться резюме юриста с указанием 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t>сделок</w:t>
      </w:r>
      <w:r w:rsidR="00503FAF" w:rsidRPr="008D73F2">
        <w:rPr>
          <w:rFonts w:ascii="Times New Roman" w:eastAsia="Times New Roman" w:hAnsi="Times New Roman"/>
          <w:sz w:val="24"/>
          <w:szCs w:val="24"/>
          <w:lang w:val="ru-RU"/>
        </w:rPr>
        <w:t xml:space="preserve"> по а</w:t>
      </w:r>
      <w:r w:rsidR="00ED2D4A">
        <w:rPr>
          <w:rFonts w:ascii="Times New Roman" w:eastAsia="Times New Roman" w:hAnsi="Times New Roman"/>
          <w:sz w:val="24"/>
          <w:szCs w:val="24"/>
          <w:lang w:val="ru-RU"/>
        </w:rPr>
        <w:t>налогичным контрактам/договорам</w:t>
      </w:r>
      <w:r w:rsidR="00503FAF" w:rsidRPr="008D73F2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4873FC" w:rsidRDefault="00503FAF" w:rsidP="00503FAF">
      <w:pPr>
        <w:pStyle w:val="a4"/>
        <w:numPr>
          <w:ilvl w:val="0"/>
          <w:numId w:val="16"/>
        </w:numPr>
        <w:spacing w:before="120"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4413D">
        <w:rPr>
          <w:rFonts w:ascii="Times New Roman" w:hAnsi="Times New Roman"/>
          <w:sz w:val="24"/>
          <w:szCs w:val="24"/>
          <w:lang w:val="ru-RU"/>
        </w:rPr>
        <w:t>Возможность выезда в назначенные места переговоров</w:t>
      </w:r>
      <w:r w:rsidRPr="00F6695E">
        <w:rPr>
          <w:rFonts w:ascii="Times New Roman" w:eastAsia="Times New Roman" w:hAnsi="Times New Roman"/>
          <w:sz w:val="24"/>
          <w:szCs w:val="24"/>
          <w:lang w:val="ru-RU"/>
        </w:rPr>
        <w:t xml:space="preserve"> (возможно заграницу);</w:t>
      </w:r>
    </w:p>
    <w:p w:rsidR="004224D4" w:rsidRPr="009F3B6C" w:rsidRDefault="004224D4" w:rsidP="004224D4">
      <w:pPr>
        <w:pStyle w:val="a4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11EA4" w:rsidRPr="004B270C" w:rsidRDefault="00711EA4" w:rsidP="00711EA4">
      <w:pPr>
        <w:pStyle w:val="a4"/>
        <w:tabs>
          <w:tab w:val="left" w:pos="284"/>
        </w:tabs>
        <w:spacing w:before="120" w:after="12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11EA4" w:rsidRPr="005D1456" w:rsidRDefault="00711EA4" w:rsidP="00711EA4">
      <w:pPr>
        <w:pStyle w:val="a4"/>
        <w:tabs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A44FC" w:rsidRPr="009F3B6C" w:rsidRDefault="008A44FC" w:rsidP="00EF2A7F">
      <w:pPr>
        <w:tabs>
          <w:tab w:val="num" w:pos="720"/>
        </w:tabs>
        <w:ind w:left="720" w:hanging="360"/>
        <w:jc w:val="both"/>
        <w:rPr>
          <w:lang w:eastAsia="en-US"/>
        </w:rPr>
      </w:pPr>
    </w:p>
    <w:sectPr w:rsidR="008A44FC" w:rsidRPr="009F3B6C" w:rsidSect="00FB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07"/>
    <w:multiLevelType w:val="hybridMultilevel"/>
    <w:tmpl w:val="5B3A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1166"/>
    <w:multiLevelType w:val="hybridMultilevel"/>
    <w:tmpl w:val="6A4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26ED"/>
    <w:multiLevelType w:val="hybridMultilevel"/>
    <w:tmpl w:val="322AE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E2B4C"/>
    <w:multiLevelType w:val="hybridMultilevel"/>
    <w:tmpl w:val="A1887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C71E52"/>
    <w:multiLevelType w:val="hybridMultilevel"/>
    <w:tmpl w:val="F25C7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850E9D"/>
    <w:multiLevelType w:val="hybridMultilevel"/>
    <w:tmpl w:val="884A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F7BFB"/>
    <w:multiLevelType w:val="multilevel"/>
    <w:tmpl w:val="0FB86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7">
    <w:nsid w:val="523E6269"/>
    <w:multiLevelType w:val="hybridMultilevel"/>
    <w:tmpl w:val="57C2048E"/>
    <w:lvl w:ilvl="0" w:tplc="0A6A06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B74BD"/>
    <w:multiLevelType w:val="hybridMultilevel"/>
    <w:tmpl w:val="777C3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87C59"/>
    <w:multiLevelType w:val="hybridMultilevel"/>
    <w:tmpl w:val="773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D71FD"/>
    <w:multiLevelType w:val="hybridMultilevel"/>
    <w:tmpl w:val="94644CA6"/>
    <w:lvl w:ilvl="0" w:tplc="FFFFFFFF">
      <w:start w:val="1"/>
      <w:numFmt w:val="lowerRoman"/>
      <w:lvlText w:val="(%1)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BF1B7A"/>
    <w:multiLevelType w:val="hybridMultilevel"/>
    <w:tmpl w:val="0DDA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E6FB7"/>
    <w:multiLevelType w:val="multilevel"/>
    <w:tmpl w:val="0FB86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3">
    <w:nsid w:val="7CA76393"/>
    <w:multiLevelType w:val="multilevel"/>
    <w:tmpl w:val="0FB86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32900"/>
    <w:rsid w:val="00013154"/>
    <w:rsid w:val="00021104"/>
    <w:rsid w:val="00031339"/>
    <w:rsid w:val="000514E6"/>
    <w:rsid w:val="00053062"/>
    <w:rsid w:val="00055ED4"/>
    <w:rsid w:val="000603C3"/>
    <w:rsid w:val="000612B7"/>
    <w:rsid w:val="000644D1"/>
    <w:rsid w:val="00080CB5"/>
    <w:rsid w:val="00096E89"/>
    <w:rsid w:val="000A6D3A"/>
    <w:rsid w:val="000B3248"/>
    <w:rsid w:val="000C0BB0"/>
    <w:rsid w:val="00103FBE"/>
    <w:rsid w:val="00116C84"/>
    <w:rsid w:val="0013588F"/>
    <w:rsid w:val="00142A39"/>
    <w:rsid w:val="001453DE"/>
    <w:rsid w:val="00146D16"/>
    <w:rsid w:val="0016383E"/>
    <w:rsid w:val="00170C84"/>
    <w:rsid w:val="001A4C33"/>
    <w:rsid w:val="001A4E11"/>
    <w:rsid w:val="001B06AE"/>
    <w:rsid w:val="001C77AE"/>
    <w:rsid w:val="001D71C0"/>
    <w:rsid w:val="001E6B6B"/>
    <w:rsid w:val="001F3DD0"/>
    <w:rsid w:val="00216A08"/>
    <w:rsid w:val="0022177C"/>
    <w:rsid w:val="00225AD0"/>
    <w:rsid w:val="0024270C"/>
    <w:rsid w:val="00262DC8"/>
    <w:rsid w:val="002724F6"/>
    <w:rsid w:val="00281195"/>
    <w:rsid w:val="0028287D"/>
    <w:rsid w:val="00287460"/>
    <w:rsid w:val="002922C4"/>
    <w:rsid w:val="002A458A"/>
    <w:rsid w:val="002B09F0"/>
    <w:rsid w:val="002B612A"/>
    <w:rsid w:val="002C4FF8"/>
    <w:rsid w:val="002E2A91"/>
    <w:rsid w:val="002E48E4"/>
    <w:rsid w:val="002F4852"/>
    <w:rsid w:val="0030718A"/>
    <w:rsid w:val="003275E3"/>
    <w:rsid w:val="0033467B"/>
    <w:rsid w:val="0035645A"/>
    <w:rsid w:val="00366D77"/>
    <w:rsid w:val="003850A7"/>
    <w:rsid w:val="00392954"/>
    <w:rsid w:val="003A7F33"/>
    <w:rsid w:val="003B21D2"/>
    <w:rsid w:val="003C6DBE"/>
    <w:rsid w:val="003E3C7F"/>
    <w:rsid w:val="00412BE5"/>
    <w:rsid w:val="00414FD2"/>
    <w:rsid w:val="004224D4"/>
    <w:rsid w:val="00434DA2"/>
    <w:rsid w:val="00450A66"/>
    <w:rsid w:val="00457B04"/>
    <w:rsid w:val="004608E8"/>
    <w:rsid w:val="00483EA6"/>
    <w:rsid w:val="00485757"/>
    <w:rsid w:val="00486DC6"/>
    <w:rsid w:val="004873FC"/>
    <w:rsid w:val="00491B2E"/>
    <w:rsid w:val="00497181"/>
    <w:rsid w:val="004B01E7"/>
    <w:rsid w:val="004F3ED4"/>
    <w:rsid w:val="00503FAF"/>
    <w:rsid w:val="00504BCE"/>
    <w:rsid w:val="00511E33"/>
    <w:rsid w:val="0052207A"/>
    <w:rsid w:val="005328FA"/>
    <w:rsid w:val="005403E2"/>
    <w:rsid w:val="00540CC6"/>
    <w:rsid w:val="00581F59"/>
    <w:rsid w:val="0058456F"/>
    <w:rsid w:val="005953C2"/>
    <w:rsid w:val="00595DDA"/>
    <w:rsid w:val="005B5FD1"/>
    <w:rsid w:val="005C5FCC"/>
    <w:rsid w:val="005D3075"/>
    <w:rsid w:val="00602F51"/>
    <w:rsid w:val="00615B70"/>
    <w:rsid w:val="00623536"/>
    <w:rsid w:val="006372F2"/>
    <w:rsid w:val="00641082"/>
    <w:rsid w:val="00644F0C"/>
    <w:rsid w:val="00682B64"/>
    <w:rsid w:val="006879A4"/>
    <w:rsid w:val="00694F49"/>
    <w:rsid w:val="006A1F3A"/>
    <w:rsid w:val="006C1D7F"/>
    <w:rsid w:val="006C79AF"/>
    <w:rsid w:val="006D1009"/>
    <w:rsid w:val="00711EA4"/>
    <w:rsid w:val="00720C48"/>
    <w:rsid w:val="00724505"/>
    <w:rsid w:val="007261D3"/>
    <w:rsid w:val="00764F0B"/>
    <w:rsid w:val="007666EA"/>
    <w:rsid w:val="00773E64"/>
    <w:rsid w:val="00784A51"/>
    <w:rsid w:val="007B3761"/>
    <w:rsid w:val="007C10C8"/>
    <w:rsid w:val="007C1E35"/>
    <w:rsid w:val="0080115D"/>
    <w:rsid w:val="00851077"/>
    <w:rsid w:val="008603AD"/>
    <w:rsid w:val="00890690"/>
    <w:rsid w:val="008A44FC"/>
    <w:rsid w:val="008B4229"/>
    <w:rsid w:val="008C5549"/>
    <w:rsid w:val="008D73F2"/>
    <w:rsid w:val="008E0187"/>
    <w:rsid w:val="008F0AD0"/>
    <w:rsid w:val="00922E54"/>
    <w:rsid w:val="00924663"/>
    <w:rsid w:val="00937FED"/>
    <w:rsid w:val="0096386C"/>
    <w:rsid w:val="009674A2"/>
    <w:rsid w:val="00971E0D"/>
    <w:rsid w:val="00981EB0"/>
    <w:rsid w:val="00996655"/>
    <w:rsid w:val="00997A86"/>
    <w:rsid w:val="009A10EA"/>
    <w:rsid w:val="009C173A"/>
    <w:rsid w:val="009F0920"/>
    <w:rsid w:val="009F3B6C"/>
    <w:rsid w:val="009F64C3"/>
    <w:rsid w:val="00A12766"/>
    <w:rsid w:val="00A25923"/>
    <w:rsid w:val="00A53869"/>
    <w:rsid w:val="00A5627D"/>
    <w:rsid w:val="00A6306C"/>
    <w:rsid w:val="00A70F2A"/>
    <w:rsid w:val="00AB3216"/>
    <w:rsid w:val="00AE00CE"/>
    <w:rsid w:val="00AE12A1"/>
    <w:rsid w:val="00AE50B7"/>
    <w:rsid w:val="00AE661B"/>
    <w:rsid w:val="00AF12E9"/>
    <w:rsid w:val="00AF3B61"/>
    <w:rsid w:val="00B17B0C"/>
    <w:rsid w:val="00B27834"/>
    <w:rsid w:val="00B30ED2"/>
    <w:rsid w:val="00B42641"/>
    <w:rsid w:val="00B479E1"/>
    <w:rsid w:val="00B51D5B"/>
    <w:rsid w:val="00B64F76"/>
    <w:rsid w:val="00B660C3"/>
    <w:rsid w:val="00B71A40"/>
    <w:rsid w:val="00B7513A"/>
    <w:rsid w:val="00B85A70"/>
    <w:rsid w:val="00B93C7E"/>
    <w:rsid w:val="00BA08E7"/>
    <w:rsid w:val="00BB10CD"/>
    <w:rsid w:val="00BB3BEB"/>
    <w:rsid w:val="00BE6FEB"/>
    <w:rsid w:val="00BF28F2"/>
    <w:rsid w:val="00C115E7"/>
    <w:rsid w:val="00C52DA1"/>
    <w:rsid w:val="00C7236F"/>
    <w:rsid w:val="00C74851"/>
    <w:rsid w:val="00CC166A"/>
    <w:rsid w:val="00CE6A33"/>
    <w:rsid w:val="00CF5C30"/>
    <w:rsid w:val="00CF6EE7"/>
    <w:rsid w:val="00D22197"/>
    <w:rsid w:val="00D55F2D"/>
    <w:rsid w:val="00DA17D2"/>
    <w:rsid w:val="00DA2653"/>
    <w:rsid w:val="00DA2C0A"/>
    <w:rsid w:val="00DA728C"/>
    <w:rsid w:val="00DB4D9F"/>
    <w:rsid w:val="00DD0E45"/>
    <w:rsid w:val="00DD4376"/>
    <w:rsid w:val="00DE6162"/>
    <w:rsid w:val="00DF316C"/>
    <w:rsid w:val="00DF5FE3"/>
    <w:rsid w:val="00E07463"/>
    <w:rsid w:val="00E15FD7"/>
    <w:rsid w:val="00E32900"/>
    <w:rsid w:val="00E36563"/>
    <w:rsid w:val="00E375B9"/>
    <w:rsid w:val="00E50E46"/>
    <w:rsid w:val="00E64EED"/>
    <w:rsid w:val="00E71164"/>
    <w:rsid w:val="00E71A1D"/>
    <w:rsid w:val="00E74B45"/>
    <w:rsid w:val="00EA1A14"/>
    <w:rsid w:val="00EA3A46"/>
    <w:rsid w:val="00ED2D4A"/>
    <w:rsid w:val="00EE322C"/>
    <w:rsid w:val="00EF2A7F"/>
    <w:rsid w:val="00F30BDE"/>
    <w:rsid w:val="00F335DE"/>
    <w:rsid w:val="00F4413D"/>
    <w:rsid w:val="00F457B0"/>
    <w:rsid w:val="00F517BC"/>
    <w:rsid w:val="00F60E6D"/>
    <w:rsid w:val="00F6695E"/>
    <w:rsid w:val="00F72573"/>
    <w:rsid w:val="00F841BD"/>
    <w:rsid w:val="00F9410D"/>
    <w:rsid w:val="00FB1C6E"/>
    <w:rsid w:val="00FB40B0"/>
    <w:rsid w:val="00FC73EB"/>
    <w:rsid w:val="00FD0FA6"/>
    <w:rsid w:val="00FD1300"/>
    <w:rsid w:val="00FD1AD4"/>
    <w:rsid w:val="00FE4C5E"/>
    <w:rsid w:val="00FE5D1C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2900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E32900"/>
    <w:pPr>
      <w:ind w:left="720"/>
    </w:pPr>
  </w:style>
  <w:style w:type="paragraph" w:styleId="a4">
    <w:name w:val="List Paragraph"/>
    <w:basedOn w:val="a"/>
    <w:uiPriority w:val="99"/>
    <w:qFormat/>
    <w:rsid w:val="006D1009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5">
    <w:name w:val="annotation reference"/>
    <w:rsid w:val="00784A51"/>
    <w:rPr>
      <w:sz w:val="16"/>
      <w:szCs w:val="16"/>
    </w:rPr>
  </w:style>
  <w:style w:type="paragraph" w:styleId="a6">
    <w:name w:val="annotation text"/>
    <w:basedOn w:val="a"/>
    <w:link w:val="a7"/>
    <w:rsid w:val="00784A51"/>
    <w:rPr>
      <w:sz w:val="20"/>
      <w:szCs w:val="20"/>
    </w:rPr>
  </w:style>
  <w:style w:type="character" w:customStyle="1" w:styleId="a7">
    <w:name w:val="Текст примечания Знак"/>
    <w:link w:val="a6"/>
    <w:rsid w:val="00784A51"/>
    <w:rPr>
      <w:lang w:val="ru-RU" w:eastAsia="ru-RU"/>
    </w:rPr>
  </w:style>
  <w:style w:type="paragraph" w:styleId="a8">
    <w:name w:val="annotation subject"/>
    <w:basedOn w:val="a6"/>
    <w:next w:val="a6"/>
    <w:link w:val="a9"/>
    <w:rsid w:val="00784A51"/>
    <w:rPr>
      <w:b/>
      <w:bCs/>
    </w:rPr>
  </w:style>
  <w:style w:type="character" w:customStyle="1" w:styleId="a9">
    <w:name w:val="Тема примечания Знак"/>
    <w:link w:val="a8"/>
    <w:rsid w:val="00784A51"/>
    <w:rPr>
      <w:b/>
      <w:bCs/>
      <w:lang w:val="ru-RU" w:eastAsia="ru-RU"/>
    </w:rPr>
  </w:style>
  <w:style w:type="paragraph" w:styleId="aa">
    <w:name w:val="Balloon Text"/>
    <w:basedOn w:val="a"/>
    <w:link w:val="ab"/>
    <w:rsid w:val="00784A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84A51"/>
    <w:rPr>
      <w:rFonts w:ascii="Tahoma" w:hAnsi="Tahoma" w:cs="Tahoma"/>
      <w:sz w:val="16"/>
      <w:szCs w:val="16"/>
      <w:lang w:val="ru-RU" w:eastAsia="ru-RU"/>
    </w:rPr>
  </w:style>
  <w:style w:type="paragraph" w:styleId="ac">
    <w:name w:val="Revision"/>
    <w:hidden/>
    <w:uiPriority w:val="99"/>
    <w:semiHidden/>
    <w:rsid w:val="0028287D"/>
    <w:rPr>
      <w:sz w:val="24"/>
      <w:szCs w:val="24"/>
    </w:rPr>
  </w:style>
  <w:style w:type="character" w:customStyle="1" w:styleId="s1">
    <w:name w:val="s1"/>
    <w:rsid w:val="00F30B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d">
    <w:name w:val="Emphasis"/>
    <w:aliases w:val="Italic"/>
    <w:basedOn w:val="a0"/>
    <w:uiPriority w:val="20"/>
    <w:qFormat/>
    <w:rsid w:val="004873F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2900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E32900"/>
    <w:pPr>
      <w:ind w:left="720"/>
    </w:pPr>
  </w:style>
  <w:style w:type="paragraph" w:styleId="a4">
    <w:name w:val="List Paragraph"/>
    <w:basedOn w:val="a"/>
    <w:uiPriority w:val="99"/>
    <w:qFormat/>
    <w:rsid w:val="006D1009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5">
    <w:name w:val="annotation reference"/>
    <w:rsid w:val="00784A51"/>
    <w:rPr>
      <w:sz w:val="16"/>
      <w:szCs w:val="16"/>
    </w:rPr>
  </w:style>
  <w:style w:type="paragraph" w:styleId="a6">
    <w:name w:val="annotation text"/>
    <w:basedOn w:val="a"/>
    <w:link w:val="a7"/>
    <w:rsid w:val="00784A51"/>
    <w:rPr>
      <w:sz w:val="20"/>
      <w:szCs w:val="20"/>
    </w:rPr>
  </w:style>
  <w:style w:type="character" w:customStyle="1" w:styleId="a7">
    <w:name w:val="Текст примечания Знак"/>
    <w:link w:val="a6"/>
    <w:rsid w:val="00784A51"/>
    <w:rPr>
      <w:lang w:val="ru-RU" w:eastAsia="ru-RU"/>
    </w:rPr>
  </w:style>
  <w:style w:type="paragraph" w:styleId="a8">
    <w:name w:val="annotation subject"/>
    <w:basedOn w:val="a6"/>
    <w:next w:val="a6"/>
    <w:link w:val="a9"/>
    <w:rsid w:val="00784A51"/>
    <w:rPr>
      <w:b/>
      <w:bCs/>
    </w:rPr>
  </w:style>
  <w:style w:type="character" w:customStyle="1" w:styleId="a9">
    <w:name w:val="Тема примечания Знак"/>
    <w:link w:val="a8"/>
    <w:rsid w:val="00784A51"/>
    <w:rPr>
      <w:b/>
      <w:bCs/>
      <w:lang w:val="ru-RU" w:eastAsia="ru-RU"/>
    </w:rPr>
  </w:style>
  <w:style w:type="paragraph" w:styleId="aa">
    <w:name w:val="Balloon Text"/>
    <w:basedOn w:val="a"/>
    <w:link w:val="ab"/>
    <w:rsid w:val="00784A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84A51"/>
    <w:rPr>
      <w:rFonts w:ascii="Tahoma" w:hAnsi="Tahoma" w:cs="Tahoma"/>
      <w:sz w:val="16"/>
      <w:szCs w:val="16"/>
      <w:lang w:val="ru-RU" w:eastAsia="ru-RU"/>
    </w:rPr>
  </w:style>
  <w:style w:type="paragraph" w:styleId="ac">
    <w:name w:val="Revision"/>
    <w:hidden/>
    <w:uiPriority w:val="99"/>
    <w:semiHidden/>
    <w:rsid w:val="0028287D"/>
    <w:rPr>
      <w:sz w:val="24"/>
      <w:szCs w:val="24"/>
    </w:rPr>
  </w:style>
  <w:style w:type="character" w:customStyle="1" w:styleId="s1">
    <w:name w:val="s1"/>
    <w:rsid w:val="00F30B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d">
    <w:name w:val="Emphasis"/>
    <w:aliases w:val="Italic"/>
    <w:basedOn w:val="a0"/>
    <w:uiPriority w:val="20"/>
    <w:qFormat/>
    <w:rsid w:val="004873F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4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202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12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02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8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37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83E6-4CE4-4EAE-9E18-D574411C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Техническая спецификация</vt:lpstr>
      <vt:lpstr>Техническая спецификация</vt:lpstr>
    </vt:vector>
  </TitlesOfParts>
  <Company>AIR ASTANA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saule.z</dc:creator>
  <cp:lastModifiedBy>Elena.k</cp:lastModifiedBy>
  <cp:revision>2</cp:revision>
  <cp:lastPrinted>2017-07-21T03:13:00Z</cp:lastPrinted>
  <dcterms:created xsi:type="dcterms:W3CDTF">2017-12-12T04:01:00Z</dcterms:created>
  <dcterms:modified xsi:type="dcterms:W3CDTF">2017-12-12T04:01:00Z</dcterms:modified>
</cp:coreProperties>
</file>