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D9" w:rsidRDefault="002E78D9" w:rsidP="002E78D9">
      <w:pPr>
        <w:jc w:val="center"/>
        <w:outlineLvl w:val="0"/>
        <w:rPr>
          <w:b/>
        </w:rPr>
      </w:pPr>
      <w:r>
        <w:rPr>
          <w:b/>
        </w:rPr>
        <w:t>Техническая спецификация</w:t>
      </w:r>
    </w:p>
    <w:p w:rsidR="002E78D9" w:rsidRDefault="002E78D9" w:rsidP="002E78D9">
      <w:pPr>
        <w:jc w:val="center"/>
        <w:outlineLvl w:val="0"/>
        <w:rPr>
          <w:b/>
        </w:rPr>
      </w:pPr>
    </w:p>
    <w:p w:rsidR="009019CF" w:rsidRPr="006C19CA" w:rsidRDefault="009019CF" w:rsidP="002E78D9">
      <w:pPr>
        <w:jc w:val="center"/>
        <w:outlineLvl w:val="0"/>
        <w:rPr>
          <w:b/>
        </w:rPr>
      </w:pPr>
    </w:p>
    <w:p w:rsidR="009019CF" w:rsidRPr="006C19CA" w:rsidRDefault="009019CF" w:rsidP="009019CF">
      <w:pPr>
        <w:jc w:val="center"/>
        <w:outlineLvl w:val="0"/>
        <w:rPr>
          <w:b/>
          <w:u w:val="single"/>
        </w:rPr>
      </w:pPr>
      <w:r w:rsidRPr="009019CF">
        <w:rPr>
          <w:b/>
          <w:u w:val="single"/>
        </w:rPr>
        <w:t>Лот 1,2. Подставка под огнетушитель</w:t>
      </w:r>
    </w:p>
    <w:p w:rsidR="009019CF" w:rsidRPr="006C19CA" w:rsidRDefault="009019CF" w:rsidP="009019CF">
      <w:pPr>
        <w:jc w:val="center"/>
        <w:outlineLvl w:val="0"/>
        <w:rPr>
          <w:b/>
          <w:u w:val="single"/>
        </w:rPr>
      </w:pPr>
    </w:p>
    <w:p w:rsidR="009019CF" w:rsidRPr="009019CF" w:rsidRDefault="009019CF" w:rsidP="009019CF">
      <w:pPr>
        <w:outlineLvl w:val="0"/>
      </w:pPr>
      <w:r w:rsidRPr="009019CF">
        <w:rPr>
          <w:b/>
        </w:rPr>
        <w:t xml:space="preserve">                                     </w:t>
      </w:r>
    </w:p>
    <w:p w:rsidR="009019CF" w:rsidRPr="009019CF" w:rsidRDefault="009019CF" w:rsidP="009019CF">
      <w:pPr>
        <w:pStyle w:val="NormalWeb"/>
        <w:shd w:val="clear" w:color="auto" w:fill="FFFFFF"/>
        <w:jc w:val="both"/>
      </w:pPr>
      <w:r w:rsidRPr="009019CF">
        <w:t>Подставка для огнетушителя  ОП-5 и ОУ-5 металличес</w:t>
      </w:r>
      <w:r w:rsidR="00301810">
        <w:t>кая, покрытая эпоксидной эмалью</w:t>
      </w:r>
      <w:r w:rsidRPr="009019CF">
        <w:t>.  Конструкция подставки для огнетушителя представляет собой металлический короб из соединенных между собой деталей – дна и боковин. Опорными плоскостями подставка размещается на ровной поверхности (на полу), вовнутрь подставки устанавливается баллон огнетушителя.</w:t>
      </w:r>
    </w:p>
    <w:p w:rsidR="009019CF" w:rsidRPr="009019CF" w:rsidRDefault="00301810" w:rsidP="009019CF">
      <w:pPr>
        <w:pStyle w:val="NormalWeb"/>
        <w:shd w:val="clear" w:color="auto" w:fill="FFFFFF"/>
        <w:jc w:val="both"/>
      </w:pPr>
      <w:r>
        <w:t>Вес нетто, кг: не менее 1,8</w:t>
      </w:r>
      <w:bookmarkStart w:id="0" w:name="_GoBack"/>
      <w:bookmarkEnd w:id="0"/>
    </w:p>
    <w:p w:rsidR="009019CF" w:rsidRPr="006C19CA" w:rsidRDefault="009019CF" w:rsidP="009019CF">
      <w:pPr>
        <w:pStyle w:val="NormalWeb"/>
        <w:shd w:val="clear" w:color="auto" w:fill="FFFFFF"/>
        <w:jc w:val="both"/>
        <w:rPr>
          <w:b/>
        </w:rPr>
      </w:pPr>
      <w:r w:rsidRPr="009019CF">
        <w:rPr>
          <w:b/>
        </w:rPr>
        <w:t>В количестве 10 шт.</w:t>
      </w:r>
    </w:p>
    <w:p w:rsidR="009019CF" w:rsidRPr="006C19CA" w:rsidRDefault="009019CF" w:rsidP="009019CF">
      <w:pPr>
        <w:pStyle w:val="NormalWeb"/>
        <w:shd w:val="clear" w:color="auto" w:fill="FFFFFF"/>
        <w:jc w:val="both"/>
        <w:rPr>
          <w:b/>
        </w:rPr>
      </w:pPr>
    </w:p>
    <w:p w:rsidR="009019CF" w:rsidRPr="006C19CA" w:rsidRDefault="009019CF" w:rsidP="009019CF">
      <w:pPr>
        <w:pStyle w:val="NormalWeb"/>
        <w:shd w:val="clear" w:color="auto" w:fill="FFFFFF"/>
        <w:jc w:val="both"/>
        <w:rPr>
          <w:b/>
        </w:rPr>
      </w:pPr>
    </w:p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  <w:r w:rsidRPr="009019CF">
        <w:rPr>
          <w:b/>
        </w:rPr>
        <w:t>Лот 3 Огнетушитель ОП-5.</w:t>
      </w:r>
    </w:p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p w:rsidR="009019CF" w:rsidRP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tbl>
      <w:tblPr>
        <w:tblW w:w="9351" w:type="dxa"/>
        <w:jc w:val="center"/>
        <w:tblCellSpacing w:w="7" w:type="dxa"/>
        <w:tblInd w:w="-4568" w:type="dxa"/>
        <w:shd w:val="clear" w:color="auto" w:fill="56565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2"/>
        <w:gridCol w:w="4819"/>
      </w:tblGrid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vAlign w:val="center"/>
            <w:hideMark/>
          </w:tcPr>
          <w:p w:rsidR="009019CF" w:rsidRPr="009019CF" w:rsidRDefault="009019CF" w:rsidP="00F802C1">
            <w:r w:rsidRPr="009019CF">
              <w:t>Огнетушитель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ОП-5(г)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>Огнетушащая способность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2А,70В</w:t>
            </w:r>
            <w:proofErr w:type="gramStart"/>
            <w:r w:rsidRPr="009019CF">
              <w:t>,С</w:t>
            </w:r>
            <w:proofErr w:type="gramEnd"/>
            <w:r w:rsidRPr="009019CF">
              <w:t>,E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 xml:space="preserve">Количество </w:t>
            </w:r>
            <w:proofErr w:type="gramStart"/>
            <w:r w:rsidRPr="009019CF">
              <w:t>ОТВ</w:t>
            </w:r>
            <w:proofErr w:type="gramEnd"/>
            <w:r w:rsidRPr="009019CF">
              <w:t>, [кг]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5,0±0,25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>Диапазон температур, [</w:t>
            </w:r>
            <w:proofErr w:type="gramStart"/>
            <w:r w:rsidRPr="009019CF">
              <w:t>С</w:t>
            </w:r>
            <w:proofErr w:type="gramEnd"/>
            <w:r w:rsidRPr="009019CF">
              <w:t>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-50º</w:t>
            </w:r>
            <w:r w:rsidRPr="009019CF">
              <w:br/>
              <w:t>+50º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>Рабочее давление, [МПа]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0,9±0,15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 xml:space="preserve">Время подачи </w:t>
            </w:r>
            <w:proofErr w:type="gramStart"/>
            <w:r w:rsidRPr="009019CF">
              <w:t>ОТВ</w:t>
            </w:r>
            <w:proofErr w:type="gramEnd"/>
            <w:r w:rsidRPr="009019CF">
              <w:t xml:space="preserve">, </w:t>
            </w:r>
            <w:proofErr w:type="spellStart"/>
            <w:r w:rsidRPr="009019CF">
              <w:t>min</w:t>
            </w:r>
            <w:proofErr w:type="spellEnd"/>
            <w:r w:rsidRPr="009019CF">
              <w:t xml:space="preserve"> [сек]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10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 xml:space="preserve">Вес, </w:t>
            </w:r>
            <w:proofErr w:type="spellStart"/>
            <w:r w:rsidRPr="009019CF">
              <w:t>max</w:t>
            </w:r>
            <w:proofErr w:type="spellEnd"/>
            <w:r w:rsidRPr="009019CF">
              <w:t>, [кг]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8,0±0,4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r w:rsidRPr="009019CF">
              <w:t>Продолжительность ввода в</w:t>
            </w:r>
            <w:r w:rsidRPr="009019CF">
              <w:br/>
              <w:t xml:space="preserve">действие, </w:t>
            </w:r>
            <w:proofErr w:type="spellStart"/>
            <w:r w:rsidRPr="009019CF">
              <w:t>max</w:t>
            </w:r>
            <w:proofErr w:type="spellEnd"/>
            <w:r w:rsidRPr="009019CF">
              <w:t xml:space="preserve"> [c]</w:t>
            </w:r>
          </w:p>
        </w:tc>
        <w:tc>
          <w:tcPr>
            <w:tcW w:w="4798" w:type="dxa"/>
            <w:shd w:val="clear" w:color="auto" w:fill="F5F5F5"/>
            <w:noWrap/>
            <w:vAlign w:val="center"/>
            <w:hideMark/>
          </w:tcPr>
          <w:p w:rsidR="009019CF" w:rsidRPr="009019CF" w:rsidRDefault="009019CF" w:rsidP="00F802C1">
            <w:pPr>
              <w:jc w:val="center"/>
            </w:pPr>
            <w:r w:rsidRPr="009019CF">
              <w:t>6</w:t>
            </w:r>
          </w:p>
        </w:tc>
      </w:tr>
      <w:tr w:rsidR="009019CF" w:rsidRPr="009019CF" w:rsidTr="00F802C1">
        <w:trPr>
          <w:tblCellSpacing w:w="7" w:type="dxa"/>
          <w:jc w:val="center"/>
        </w:trPr>
        <w:tc>
          <w:tcPr>
            <w:tcW w:w="4511" w:type="dxa"/>
            <w:shd w:val="clear" w:color="auto" w:fill="F5F5F5"/>
            <w:noWrap/>
            <w:vAlign w:val="center"/>
          </w:tcPr>
          <w:p w:rsidR="009019CF" w:rsidRPr="009019CF" w:rsidRDefault="009019CF" w:rsidP="00F802C1">
            <w:pPr>
              <w:rPr>
                <w:b/>
              </w:rPr>
            </w:pPr>
            <w:r w:rsidRPr="009019CF">
              <w:rPr>
                <w:b/>
              </w:rPr>
              <w:t xml:space="preserve">В Количестве </w:t>
            </w:r>
          </w:p>
        </w:tc>
        <w:tc>
          <w:tcPr>
            <w:tcW w:w="4798" w:type="dxa"/>
            <w:shd w:val="clear" w:color="auto" w:fill="F5F5F5"/>
            <w:noWrap/>
            <w:vAlign w:val="center"/>
          </w:tcPr>
          <w:p w:rsidR="009019CF" w:rsidRPr="009019CF" w:rsidRDefault="009019CF" w:rsidP="00F802C1">
            <w:pPr>
              <w:jc w:val="center"/>
              <w:rPr>
                <w:b/>
              </w:rPr>
            </w:pPr>
            <w:r w:rsidRPr="009019CF">
              <w:rPr>
                <w:b/>
              </w:rPr>
              <w:t>6шт.</w:t>
            </w:r>
          </w:p>
        </w:tc>
      </w:tr>
    </w:tbl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  <w:r w:rsidRPr="009019CF">
        <w:rPr>
          <w:b/>
        </w:rPr>
        <w:t>Лот 4 Огнетушитель ОУ</w:t>
      </w:r>
      <w:r w:rsidRPr="009019CF">
        <w:rPr>
          <w:b/>
          <w:lang w:val="en-US"/>
        </w:rPr>
        <w:t>-5</w:t>
      </w:r>
    </w:p>
    <w:p w:rsid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p w:rsidR="009019CF" w:rsidRPr="009019CF" w:rsidRDefault="009019CF" w:rsidP="009019CF">
      <w:pPr>
        <w:pStyle w:val="NormalWeb"/>
        <w:shd w:val="clear" w:color="auto" w:fill="FFFFFF"/>
        <w:jc w:val="center"/>
        <w:rPr>
          <w:b/>
          <w:lang w:val="en-US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5"/>
        <w:gridCol w:w="2120"/>
      </w:tblGrid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</w:p>
          <w:p w:rsidR="009019CF" w:rsidRPr="009019CF" w:rsidRDefault="009019CF" w:rsidP="00F802C1">
            <w:pPr>
              <w:textAlignment w:val="top"/>
            </w:pPr>
            <w:r w:rsidRPr="009019CF">
              <w:t>Марка</w:t>
            </w:r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  <w:rPr>
                <w:lang w:val="en-US"/>
              </w:rPr>
            </w:pPr>
            <w:r w:rsidRPr="009019CF">
              <w:t>ОУ-</w:t>
            </w:r>
            <w:r w:rsidRPr="009019CF">
              <w:rPr>
                <w:lang w:val="en-US"/>
              </w:rPr>
              <w:t>5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Количество огнетушащего вещества</w:t>
            </w:r>
            <w:r w:rsidR="006C19CA">
              <w:t xml:space="preserve"> не менее</w:t>
            </w:r>
            <w:r w:rsidRPr="009019CF">
              <w:t xml:space="preserve">, </w:t>
            </w:r>
            <w:proofErr w:type="gramStart"/>
            <w:r w:rsidRPr="009019CF">
              <w:t>кг</w:t>
            </w:r>
            <w:proofErr w:type="gramEnd"/>
          </w:p>
        </w:tc>
        <w:tc>
          <w:tcPr>
            <w:tcW w:w="2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5,0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Огнетушащая способность (площадь, м</w:t>
            </w:r>
            <w:proofErr w:type="gramStart"/>
            <w:r w:rsidRPr="009019CF">
              <w:t>2</w:t>
            </w:r>
            <w:proofErr w:type="gramEnd"/>
            <w:r w:rsidRPr="009019CF">
              <w:t>)</w:t>
            </w:r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55В(1,75)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Рабочее давление, Мпа (кгс/м2) при t=20±5</w:t>
            </w:r>
            <w:proofErr w:type="gramStart"/>
            <w:r w:rsidRPr="009019CF">
              <w:t xml:space="preserve"> °С</w:t>
            </w:r>
            <w:proofErr w:type="gramEnd"/>
          </w:p>
        </w:tc>
        <w:tc>
          <w:tcPr>
            <w:tcW w:w="2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5,8(58)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6C19CA" w:rsidP="00F802C1">
            <w:pPr>
              <w:textAlignment w:val="top"/>
            </w:pPr>
            <w:r>
              <w:t>Время выхода огнетушащ</w:t>
            </w:r>
            <w:r w:rsidR="009019CF" w:rsidRPr="009019CF">
              <w:t xml:space="preserve">его вещества, </w:t>
            </w:r>
            <w:proofErr w:type="gramStart"/>
            <w:r w:rsidR="009019CF" w:rsidRPr="009019CF">
              <w:t>с</w:t>
            </w:r>
            <w:proofErr w:type="gramEnd"/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10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 xml:space="preserve">Длина выброса, </w:t>
            </w:r>
            <w:proofErr w:type="gramStart"/>
            <w:r w:rsidRPr="009019CF">
              <w:t>м</w:t>
            </w:r>
            <w:proofErr w:type="gramEnd"/>
          </w:p>
        </w:tc>
        <w:tc>
          <w:tcPr>
            <w:tcW w:w="2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3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 xml:space="preserve">Масса, </w:t>
            </w:r>
            <w:proofErr w:type="gramStart"/>
            <w:r w:rsidRPr="009019CF">
              <w:t>кг</w:t>
            </w:r>
            <w:proofErr w:type="gramEnd"/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15,5…17,2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Диапазон рабочих температур, °</w:t>
            </w:r>
            <w:proofErr w:type="gramStart"/>
            <w:r w:rsidRPr="009019CF">
              <w:t>С</w:t>
            </w:r>
            <w:proofErr w:type="gramEnd"/>
          </w:p>
        </w:tc>
        <w:tc>
          <w:tcPr>
            <w:tcW w:w="2036" w:type="dxa"/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-40…+50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6C19CA" w:rsidRDefault="009019CF" w:rsidP="00F802C1">
            <w:pPr>
              <w:textAlignment w:val="top"/>
            </w:pPr>
            <w:r w:rsidRPr="009019CF">
              <w:t>Габариты</w:t>
            </w:r>
            <w:r w:rsidR="006C19CA">
              <w:t xml:space="preserve"> не менее</w:t>
            </w:r>
            <w:r w:rsidRPr="009019CF">
              <w:t xml:space="preserve">, </w:t>
            </w:r>
            <w:proofErr w:type="gramStart"/>
            <w:r w:rsidRPr="009019CF">
              <w:t>мм</w:t>
            </w:r>
            <w:proofErr w:type="gramEnd"/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019CF" w:rsidRPr="009019CF" w:rsidRDefault="009019CF" w:rsidP="00F802C1">
            <w:pPr>
              <w:textAlignment w:val="top"/>
            </w:pPr>
            <w:r w:rsidRPr="009019CF">
              <w:t>940х230х520</w:t>
            </w:r>
          </w:p>
        </w:tc>
      </w:tr>
      <w:tr w:rsidR="009019CF" w:rsidRPr="009019CF" w:rsidTr="00F802C1">
        <w:trPr>
          <w:tblCellSpacing w:w="0" w:type="dxa"/>
          <w:jc w:val="center"/>
        </w:trPr>
        <w:tc>
          <w:tcPr>
            <w:tcW w:w="7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19CF" w:rsidRPr="009019CF" w:rsidRDefault="009019CF" w:rsidP="00F802C1">
            <w:pPr>
              <w:textAlignment w:val="top"/>
              <w:rPr>
                <w:b/>
              </w:rPr>
            </w:pPr>
            <w:r w:rsidRPr="009019CF">
              <w:rPr>
                <w:b/>
              </w:rPr>
              <w:t>В количестве</w:t>
            </w:r>
          </w:p>
        </w:tc>
        <w:tc>
          <w:tcPr>
            <w:tcW w:w="2036" w:type="dxa"/>
            <w:shd w:val="clear" w:color="auto" w:fill="EBEC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19CF" w:rsidRPr="009019CF" w:rsidRDefault="009019CF" w:rsidP="00F802C1">
            <w:pPr>
              <w:textAlignment w:val="top"/>
              <w:rPr>
                <w:b/>
              </w:rPr>
            </w:pPr>
            <w:r w:rsidRPr="009019CF">
              <w:rPr>
                <w:b/>
              </w:rPr>
              <w:t>4 шт.</w:t>
            </w:r>
          </w:p>
        </w:tc>
      </w:tr>
    </w:tbl>
    <w:p w:rsidR="009019CF" w:rsidRDefault="009019CF" w:rsidP="009019CF">
      <w:pPr>
        <w:outlineLvl w:val="0"/>
        <w:rPr>
          <w:b/>
          <w:lang w:val="en-US"/>
        </w:rPr>
      </w:pPr>
    </w:p>
    <w:p w:rsidR="009019CF" w:rsidRDefault="009019CF" w:rsidP="009019CF">
      <w:pPr>
        <w:outlineLvl w:val="0"/>
        <w:rPr>
          <w:b/>
          <w:lang w:val="en-US"/>
        </w:rPr>
      </w:pPr>
    </w:p>
    <w:p w:rsidR="009019CF" w:rsidRPr="009019CF" w:rsidRDefault="009019CF" w:rsidP="009019CF">
      <w:pPr>
        <w:jc w:val="center"/>
        <w:rPr>
          <w:b/>
          <w:lang w:val="en-US"/>
        </w:rPr>
      </w:pPr>
      <w:r>
        <w:rPr>
          <w:b/>
        </w:rPr>
        <w:lastRenderedPageBreak/>
        <w:t>Лот №</w:t>
      </w:r>
      <w:r>
        <w:rPr>
          <w:b/>
          <w:lang w:val="en-US"/>
        </w:rPr>
        <w:t>3</w:t>
      </w:r>
    </w:p>
    <w:p w:rsidR="009019CF" w:rsidRDefault="009019CF" w:rsidP="009019CF">
      <w:pPr>
        <w:jc w:val="center"/>
        <w:rPr>
          <w:b/>
        </w:rPr>
      </w:pPr>
    </w:p>
    <w:p w:rsidR="009019CF" w:rsidRPr="002E78D9" w:rsidRDefault="009019CF" w:rsidP="009019CF">
      <w:pPr>
        <w:jc w:val="center"/>
        <w:rPr>
          <w:b/>
          <w:color w:val="002060"/>
          <w:sz w:val="20"/>
          <w:szCs w:val="20"/>
        </w:rPr>
      </w:pPr>
      <w:r w:rsidRPr="002E78D9">
        <w:rPr>
          <w:b/>
          <w:color w:val="002060"/>
          <w:sz w:val="20"/>
          <w:szCs w:val="20"/>
        </w:rPr>
        <w:t>ПРЕЗЕНТАЦИОННЫЙ СТЕНД ДЛЯ АВАРИЙНО-СПАСАТЕЛЬНОГО ОБОРУДОВАНИЯ:</w:t>
      </w:r>
    </w:p>
    <w:p w:rsidR="009019CF" w:rsidRPr="00643068" w:rsidRDefault="009019CF" w:rsidP="009019CF">
      <w:pPr>
        <w:jc w:val="center"/>
        <w:rPr>
          <w:color w:val="002060"/>
        </w:rPr>
      </w:pPr>
    </w:p>
    <w:p w:rsidR="009019CF" w:rsidRPr="00643068" w:rsidRDefault="009019CF" w:rsidP="009019CF">
      <w:pPr>
        <w:jc w:val="center"/>
        <w:rPr>
          <w:color w:val="002060"/>
        </w:rPr>
      </w:pPr>
      <w:r w:rsidRPr="00643068">
        <w:rPr>
          <w:b/>
          <w:color w:val="002060"/>
        </w:rPr>
        <w:t>Количество:</w:t>
      </w:r>
      <w:r w:rsidRPr="00643068">
        <w:rPr>
          <w:color w:val="002060"/>
        </w:rPr>
        <w:t xml:space="preserve"> </w:t>
      </w:r>
      <w:r w:rsidRPr="00157094">
        <w:rPr>
          <w:color w:val="002060"/>
        </w:rPr>
        <w:t>1</w:t>
      </w:r>
      <w:r w:rsidRPr="00643068">
        <w:rPr>
          <w:color w:val="002060"/>
        </w:rPr>
        <w:t xml:space="preserve"> шт.</w:t>
      </w:r>
    </w:p>
    <w:p w:rsidR="009019CF" w:rsidRPr="00643068" w:rsidRDefault="009019CF" w:rsidP="009019CF">
      <w:pPr>
        <w:jc w:val="center"/>
        <w:rPr>
          <w:color w:val="002060"/>
        </w:rPr>
      </w:pPr>
    </w:p>
    <w:p w:rsidR="009019CF" w:rsidRPr="00643068" w:rsidRDefault="009019CF" w:rsidP="009019CF">
      <w:pPr>
        <w:rPr>
          <w:color w:val="002060"/>
        </w:rPr>
      </w:pPr>
      <w:r w:rsidRPr="00643068">
        <w:rPr>
          <w:b/>
          <w:color w:val="002060"/>
        </w:rPr>
        <w:t xml:space="preserve">Материал: </w:t>
      </w:r>
      <w:r w:rsidRPr="00643068">
        <w:rPr>
          <w:color w:val="002060"/>
        </w:rPr>
        <w:t>ЛДСП, с закаткой со всех сторон.</w:t>
      </w:r>
    </w:p>
    <w:p w:rsidR="009019CF" w:rsidRPr="00643068" w:rsidRDefault="009019CF" w:rsidP="009019CF">
      <w:pPr>
        <w:rPr>
          <w:b/>
          <w:color w:val="002060"/>
        </w:rPr>
      </w:pPr>
      <w:r w:rsidRPr="00643068">
        <w:rPr>
          <w:b/>
          <w:color w:val="002060"/>
        </w:rPr>
        <w:t>Размеры: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Длина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1700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Ширина</w:t>
      </w:r>
      <w:r w:rsidR="006C19CA">
        <w:rPr>
          <w:color w:val="002060"/>
        </w:rPr>
        <w:t xml:space="preserve"> не менее</w:t>
      </w:r>
      <w:r w:rsidRPr="00643068">
        <w:rPr>
          <w:color w:val="002060"/>
        </w:rPr>
        <w:t xml:space="preserve"> – 1500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color w:val="002060"/>
        </w:rPr>
        <w:t>Толщина</w:t>
      </w:r>
      <w:r w:rsidR="006C19CA">
        <w:rPr>
          <w:color w:val="002060"/>
        </w:rPr>
        <w:t xml:space="preserve"> менее</w:t>
      </w:r>
      <w:r w:rsidRPr="00643068">
        <w:rPr>
          <w:color w:val="002060"/>
        </w:rPr>
        <w:t xml:space="preserve"> – 20 мм</w:t>
      </w:r>
    </w:p>
    <w:p w:rsidR="009019CF" w:rsidRPr="00643068" w:rsidRDefault="009019CF" w:rsidP="009019CF">
      <w:pPr>
        <w:rPr>
          <w:color w:val="002060"/>
        </w:rPr>
      </w:pPr>
      <w:r w:rsidRPr="00643068">
        <w:rPr>
          <w:b/>
          <w:color w:val="002060"/>
        </w:rPr>
        <w:t>Цвет:</w:t>
      </w:r>
      <w:r w:rsidRPr="00643068">
        <w:rPr>
          <w:color w:val="002060"/>
        </w:rPr>
        <w:t xml:space="preserve"> светло-серый, однотонный, матовый.</w:t>
      </w: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9019CF" w:rsidRPr="006C19CA" w:rsidRDefault="009019CF" w:rsidP="009019CF">
      <w:pPr>
        <w:outlineLvl w:val="0"/>
        <w:rPr>
          <w:b/>
        </w:rPr>
      </w:pP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9019CF" w:rsidRPr="009019CF" w:rsidRDefault="009019CF" w:rsidP="002E78D9">
      <w:pPr>
        <w:jc w:val="center"/>
        <w:outlineLvl w:val="0"/>
        <w:rPr>
          <w:b/>
        </w:rPr>
      </w:pPr>
    </w:p>
    <w:p w:rsidR="002E78D9" w:rsidRDefault="009019CF" w:rsidP="002E78D9">
      <w:pPr>
        <w:jc w:val="center"/>
        <w:outlineLvl w:val="0"/>
        <w:rPr>
          <w:b/>
        </w:rPr>
      </w:pPr>
      <w:r>
        <w:rPr>
          <w:b/>
        </w:rPr>
        <w:t>Лот №</w:t>
      </w:r>
      <w:r>
        <w:rPr>
          <w:b/>
          <w:lang w:val="en-US"/>
        </w:rPr>
        <w:t>4</w:t>
      </w:r>
      <w:r w:rsidR="002E78D9">
        <w:rPr>
          <w:b/>
        </w:rPr>
        <w:t xml:space="preserve">  </w:t>
      </w:r>
      <w:r w:rsidR="002E78D9">
        <w:rPr>
          <w:b/>
          <w:bCs/>
        </w:rPr>
        <w:t>Ручных электромегафонов</w:t>
      </w:r>
      <w:r w:rsidR="002E78D9">
        <w:rPr>
          <w:b/>
        </w:rPr>
        <w:t>.</w:t>
      </w:r>
    </w:p>
    <w:p w:rsidR="002E78D9" w:rsidRDefault="002E78D9" w:rsidP="002E78D9">
      <w:pPr>
        <w:pStyle w:val="NormalWeb"/>
        <w:rPr>
          <w:color w:val="000000"/>
        </w:rPr>
      </w:pPr>
    </w:p>
    <w:p w:rsidR="002E78D9" w:rsidRDefault="002E78D9" w:rsidP="002E78D9">
      <w:pPr>
        <w:pStyle w:val="NormalWeb"/>
        <w:spacing w:before="150"/>
      </w:pPr>
      <w:r>
        <w:t xml:space="preserve">Рупорные громкоговорители служат для усиления голоса и </w:t>
      </w:r>
      <w:proofErr w:type="gramStart"/>
      <w:r>
        <w:t>оповещении</w:t>
      </w:r>
      <w:proofErr w:type="gramEnd"/>
      <w:r>
        <w:t xml:space="preserve"> максимального количества людей при ситуациях, когда не возможно автоматическое оповещение заранее заготовленными записями или при невозможности применения стационарной аппаратуры. Ручные электромегафоны применяются для организационной работы:  при проведении тренировок, проведении эвакуации  при чрезвычайных ситуациях,  донесении важной информации и для контроля нештатной  ситуации.</w:t>
      </w:r>
    </w:p>
    <w:p w:rsidR="002E78D9" w:rsidRDefault="002E78D9" w:rsidP="002E78D9">
      <w:pPr>
        <w:pStyle w:val="NormalWeb"/>
        <w:shd w:val="clear" w:color="auto" w:fill="FFFFFF"/>
        <w:spacing w:line="300" w:lineRule="atLeast"/>
        <w:rPr>
          <w:b/>
          <w:bCs/>
        </w:rPr>
      </w:pPr>
    </w:p>
    <w:p w:rsidR="002E78D9" w:rsidRDefault="002E78D9" w:rsidP="002E78D9">
      <w:pPr>
        <w:pStyle w:val="NormalWeb"/>
        <w:shd w:val="clear" w:color="auto" w:fill="FFFFFF"/>
        <w:spacing w:line="300" w:lineRule="atLeast"/>
      </w:pPr>
      <w:r>
        <w:rPr>
          <w:b/>
          <w:bCs/>
        </w:rPr>
        <w:t>Технические характеристики: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Мощность – 25 Вт.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 xml:space="preserve">Размеры </w:t>
      </w:r>
      <w:r w:rsidR="006C19CA">
        <w:t xml:space="preserve">не более </w:t>
      </w:r>
      <w:r>
        <w:t>- 240 х 350 мм.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Вес – не более 2 кг.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Питание - батареи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Аккумулятор со встроенным зарядным устройством.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Встроенный сигнал – Сирена.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Съемный выносной микрофон на витом шнуре.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Разъем для подключения внешнего питания 12В.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142"/>
      </w:pPr>
      <w:r>
        <w:t>Встроенная память сообщений – не менее 20 сек.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Ремень для ношения на плече.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Боксы для батарей.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>Опции мультимедиа - Запись голоса.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 Разъем USB и SD.</w:t>
      </w:r>
    </w:p>
    <w:p w:rsidR="002E78D9" w:rsidRDefault="002E78D9" w:rsidP="002E78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hanging="578"/>
      </w:pPr>
      <w:r>
        <w:t xml:space="preserve">Цвет - согласовать с заказчиком. </w:t>
      </w:r>
    </w:p>
    <w:p w:rsidR="002E78D9" w:rsidRPr="00301810" w:rsidRDefault="002E78D9" w:rsidP="002E78D9">
      <w:pPr>
        <w:outlineLvl w:val="0"/>
        <w:rPr>
          <w:b/>
          <w:color w:val="000000"/>
        </w:rPr>
      </w:pPr>
      <w:r w:rsidRPr="00301810">
        <w:rPr>
          <w:b/>
          <w:color w:val="000000"/>
        </w:rPr>
        <w:t>Обязательное условие:  в коммерческом предложении приложить паспорт и тех. спецификацию.</w:t>
      </w:r>
    </w:p>
    <w:p w:rsidR="002E78D9" w:rsidRDefault="002E78D9"/>
    <w:sectPr w:rsidR="002E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7941"/>
    <w:multiLevelType w:val="multilevel"/>
    <w:tmpl w:val="100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D9"/>
    <w:rsid w:val="002E78D9"/>
    <w:rsid w:val="00301810"/>
    <w:rsid w:val="003305DF"/>
    <w:rsid w:val="006C19CA"/>
    <w:rsid w:val="009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2</cp:revision>
  <dcterms:created xsi:type="dcterms:W3CDTF">2015-06-11T08:17:00Z</dcterms:created>
  <dcterms:modified xsi:type="dcterms:W3CDTF">2015-06-11T08:17:00Z</dcterms:modified>
</cp:coreProperties>
</file>